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A4" w:rsidRDefault="002A6BA4" w:rsidP="002A6BA4">
      <w:pPr>
        <w:spacing w:after="240" w:line="270" w:lineRule="atLeast"/>
        <w:rPr>
          <w:rFonts w:ascii="Verdana" w:eastAsia="Times New Roman" w:hAnsi="Verdana" w:cs="Times New Roman"/>
          <w:color w:val="000000"/>
          <w:sz w:val="18"/>
          <w:szCs w:val="18"/>
          <w:lang w:val="en-US" w:eastAsia="nl-BE"/>
        </w:rPr>
      </w:pPr>
      <w:r>
        <w:rPr>
          <w:rFonts w:ascii="Verdana" w:hAnsi="Verdana"/>
          <w:noProof/>
          <w:color w:val="010101"/>
          <w:sz w:val="18"/>
          <w:szCs w:val="18"/>
          <w:lang w:eastAsia="nl-BE"/>
        </w:rPr>
        <w:drawing>
          <wp:inline distT="0" distB="0" distL="0" distR="0">
            <wp:extent cx="1145540" cy="1525270"/>
            <wp:effectExtent l="0" t="0" r="0" b="0"/>
            <wp:docPr id="3" name="Picture 3" descr="http://www.jonesday.com/files/Professional/ed0269dd-c9bf-48d7-9d21-28b9162f4e3d/Presentation/Photo/SergeClerck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nesday.com/files/Professional/ed0269dd-c9bf-48d7-9d21-28b9162f4e3d/Presentation/Photo/SergeClerck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1525270"/>
                    </a:xfrm>
                    <a:prstGeom prst="rect">
                      <a:avLst/>
                    </a:prstGeom>
                    <a:noFill/>
                    <a:ln>
                      <a:noFill/>
                    </a:ln>
                  </pic:spPr>
                </pic:pic>
              </a:graphicData>
            </a:graphic>
          </wp:inline>
        </w:drawing>
      </w:r>
    </w:p>
    <w:p w:rsid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pBdr>
          <w:bottom w:val="dotted" w:sz="6" w:space="2" w:color="B6B6B6"/>
        </w:pBdr>
        <w:spacing w:before="150" w:after="45" w:line="210" w:lineRule="atLeast"/>
        <w:outlineLvl w:val="2"/>
        <w:rPr>
          <w:rFonts w:ascii="Verdana" w:eastAsia="Times New Roman" w:hAnsi="Verdana" w:cs="Times New Roman"/>
          <w:b/>
          <w:bCs/>
          <w:caps/>
          <w:color w:val="000000"/>
          <w:sz w:val="17"/>
          <w:szCs w:val="17"/>
          <w:lang w:val="en-US" w:eastAsia="nl-BE"/>
        </w:rPr>
      </w:pPr>
      <w:r w:rsidRPr="002A6BA4">
        <w:rPr>
          <w:rFonts w:ascii="Verdana" w:eastAsia="Times New Roman" w:hAnsi="Verdana" w:cs="Times New Roman"/>
          <w:b/>
          <w:bCs/>
          <w:caps/>
          <w:color w:val="000000"/>
          <w:sz w:val="17"/>
          <w:szCs w:val="17"/>
          <w:lang w:val="en-US" w:eastAsia="nl-BE"/>
        </w:rPr>
        <w:t>Contact</w:t>
      </w:r>
    </w:p>
    <w:p w:rsidR="002A6BA4" w:rsidRPr="002A6BA4" w:rsidRDefault="002A6BA4" w:rsidP="002A6BA4">
      <w:pPr>
        <w:spacing w:after="150" w:line="270" w:lineRule="atLeast"/>
        <w:rPr>
          <w:rFonts w:ascii="Verdana" w:eastAsia="Times New Roman" w:hAnsi="Verdana" w:cs="Times New Roman"/>
          <w:color w:val="010101"/>
          <w:sz w:val="17"/>
          <w:szCs w:val="17"/>
          <w:lang w:val="en-US" w:eastAsia="nl-BE"/>
        </w:rPr>
      </w:pPr>
      <w:hyperlink r:id="rId7" w:history="1">
        <w:r w:rsidRPr="002A6BA4">
          <w:rPr>
            <w:rFonts w:ascii="Verdana" w:eastAsia="Times New Roman" w:hAnsi="Verdana" w:cs="Times New Roman"/>
            <w:b/>
            <w:bCs/>
            <w:color w:val="003580"/>
            <w:sz w:val="17"/>
            <w:szCs w:val="17"/>
            <w:lang w:val="en-US" w:eastAsia="nl-BE"/>
          </w:rPr>
          <w:t>sclerckx@jonesday.com</w:t>
        </w:r>
      </w:hyperlink>
    </w:p>
    <w:p w:rsidR="002A6BA4" w:rsidRPr="002A6BA4" w:rsidRDefault="002A6BA4" w:rsidP="002A6BA4">
      <w:pPr>
        <w:spacing w:after="0" w:line="270" w:lineRule="atLeast"/>
        <w:rPr>
          <w:rFonts w:ascii="Verdana" w:eastAsia="Times New Roman" w:hAnsi="Verdana" w:cs="Times New Roman"/>
          <w:color w:val="010101"/>
          <w:sz w:val="17"/>
          <w:szCs w:val="17"/>
          <w:lang w:val="en-US" w:eastAsia="nl-BE"/>
        </w:rPr>
      </w:pPr>
      <w:r w:rsidRPr="002A6BA4">
        <w:rPr>
          <w:rFonts w:ascii="Verdana" w:eastAsia="Times New Roman" w:hAnsi="Verdana" w:cs="Times New Roman"/>
          <w:color w:val="010101"/>
          <w:sz w:val="17"/>
          <w:szCs w:val="17"/>
          <w:lang w:eastAsia="nl-BE"/>
        </w:rPr>
        <w:fldChar w:fldCharType="begin"/>
      </w:r>
      <w:r w:rsidRPr="002A6BA4">
        <w:rPr>
          <w:rFonts w:ascii="Verdana" w:eastAsia="Times New Roman" w:hAnsi="Verdana" w:cs="Times New Roman"/>
          <w:color w:val="010101"/>
          <w:sz w:val="17"/>
          <w:szCs w:val="17"/>
          <w:lang w:val="en-US" w:eastAsia="nl-BE"/>
        </w:rPr>
        <w:instrText xml:space="preserve"> HYPERLINK "http://www.jonesday.com/brussels" </w:instrText>
      </w:r>
      <w:r w:rsidRPr="002A6BA4">
        <w:rPr>
          <w:rFonts w:ascii="Verdana" w:eastAsia="Times New Roman" w:hAnsi="Verdana" w:cs="Times New Roman"/>
          <w:color w:val="010101"/>
          <w:sz w:val="17"/>
          <w:szCs w:val="17"/>
          <w:lang w:eastAsia="nl-BE"/>
        </w:rPr>
        <w:fldChar w:fldCharType="separate"/>
      </w:r>
      <w:r w:rsidRPr="002A6BA4">
        <w:rPr>
          <w:rFonts w:ascii="Verdana" w:eastAsia="Times New Roman" w:hAnsi="Verdana" w:cs="Times New Roman"/>
          <w:b/>
          <w:bCs/>
          <w:color w:val="003580"/>
          <w:sz w:val="17"/>
          <w:szCs w:val="17"/>
          <w:lang w:val="en-US" w:eastAsia="nl-BE"/>
        </w:rPr>
        <w:t>Brussels</w:t>
      </w:r>
      <w:r w:rsidRPr="002A6BA4">
        <w:rPr>
          <w:rFonts w:ascii="Verdana" w:eastAsia="Times New Roman" w:hAnsi="Verdana" w:cs="Times New Roman"/>
          <w:color w:val="010101"/>
          <w:sz w:val="17"/>
          <w:szCs w:val="17"/>
          <w:lang w:eastAsia="nl-BE"/>
        </w:rPr>
        <w:fldChar w:fldCharType="end"/>
      </w:r>
    </w:p>
    <w:p w:rsidR="002A6BA4" w:rsidRPr="002A6BA4" w:rsidRDefault="002A6BA4" w:rsidP="002A6BA4">
      <w:pPr>
        <w:spacing w:after="0" w:line="270" w:lineRule="atLeast"/>
        <w:rPr>
          <w:rFonts w:ascii="Verdana" w:eastAsia="Times New Roman" w:hAnsi="Verdana" w:cs="Times New Roman"/>
          <w:color w:val="010101"/>
          <w:sz w:val="17"/>
          <w:szCs w:val="17"/>
          <w:lang w:val="en-US" w:eastAsia="nl-BE"/>
        </w:rPr>
      </w:pPr>
      <w:r w:rsidRPr="002A6BA4">
        <w:rPr>
          <w:rFonts w:ascii="Verdana" w:eastAsia="Times New Roman" w:hAnsi="Verdana" w:cs="Times New Roman"/>
          <w:color w:val="010101"/>
          <w:sz w:val="17"/>
          <w:szCs w:val="17"/>
          <w:lang w:val="en-US" w:eastAsia="nl-BE"/>
        </w:rPr>
        <w:t>(T) +32.2.645.15.03</w:t>
      </w:r>
    </w:p>
    <w:p w:rsidR="002A6BA4" w:rsidRPr="002A6BA4" w:rsidRDefault="002A6BA4" w:rsidP="002A6BA4">
      <w:pPr>
        <w:spacing w:after="0" w:line="270" w:lineRule="atLeast"/>
        <w:rPr>
          <w:rFonts w:ascii="Verdana" w:eastAsia="Times New Roman" w:hAnsi="Verdana" w:cs="Times New Roman"/>
          <w:color w:val="010101"/>
          <w:sz w:val="17"/>
          <w:szCs w:val="17"/>
          <w:lang w:eastAsia="nl-BE"/>
        </w:rPr>
      </w:pPr>
      <w:r w:rsidRPr="002A6BA4">
        <w:rPr>
          <w:rFonts w:ascii="Verdana" w:eastAsia="Times New Roman" w:hAnsi="Verdana" w:cs="Times New Roman"/>
          <w:color w:val="010101"/>
          <w:sz w:val="17"/>
          <w:szCs w:val="17"/>
          <w:lang w:eastAsia="nl-BE"/>
        </w:rPr>
        <w:t>(F) +32.2.645.14.45</w:t>
      </w:r>
    </w:p>
    <w:p w:rsidR="002A6BA4" w:rsidRPr="002A6BA4" w:rsidRDefault="002A6BA4" w:rsidP="002A6BA4">
      <w:pPr>
        <w:pBdr>
          <w:bottom w:val="dotted" w:sz="6" w:space="2" w:color="B6B6B6"/>
        </w:pBdr>
        <w:spacing w:before="150" w:after="45" w:line="210" w:lineRule="atLeast"/>
        <w:outlineLvl w:val="2"/>
        <w:rPr>
          <w:rFonts w:ascii="Verdana" w:eastAsia="Times New Roman" w:hAnsi="Verdana" w:cs="Times New Roman"/>
          <w:b/>
          <w:bCs/>
          <w:caps/>
          <w:color w:val="000000"/>
          <w:sz w:val="17"/>
          <w:szCs w:val="17"/>
          <w:lang w:eastAsia="nl-BE"/>
        </w:rPr>
      </w:pPr>
      <w:r w:rsidRPr="002A6BA4">
        <w:rPr>
          <w:rFonts w:ascii="Verdana" w:eastAsia="Times New Roman" w:hAnsi="Verdana" w:cs="Times New Roman"/>
          <w:b/>
          <w:bCs/>
          <w:caps/>
          <w:color w:val="000000"/>
          <w:sz w:val="17"/>
          <w:szCs w:val="17"/>
          <w:lang w:eastAsia="nl-BE"/>
        </w:rPr>
        <w:t>Education</w:t>
      </w:r>
    </w:p>
    <w:p w:rsidR="002A6BA4" w:rsidRPr="002A6BA4" w:rsidRDefault="002A6BA4" w:rsidP="002A6BA4">
      <w:pPr>
        <w:numPr>
          <w:ilvl w:val="0"/>
          <w:numId w:val="6"/>
        </w:numPr>
        <w:spacing w:after="150" w:line="210" w:lineRule="atLeast"/>
        <w:ind w:left="135"/>
        <w:rPr>
          <w:rFonts w:ascii="Verdana" w:eastAsia="Times New Roman" w:hAnsi="Verdana" w:cs="Times New Roman"/>
          <w:color w:val="000000"/>
          <w:sz w:val="17"/>
          <w:szCs w:val="17"/>
          <w:lang w:val="en-US" w:eastAsia="nl-BE"/>
        </w:rPr>
      </w:pPr>
      <w:r w:rsidRPr="002A6BA4">
        <w:rPr>
          <w:rFonts w:ascii="Verdana" w:eastAsia="Times New Roman" w:hAnsi="Verdana" w:cs="Times New Roman"/>
          <w:color w:val="000000"/>
          <w:sz w:val="17"/>
          <w:szCs w:val="17"/>
          <w:lang w:val="en-US" w:eastAsia="nl-BE"/>
        </w:rPr>
        <w:t xml:space="preserve">Georgetown University (LL.M. 2002); University of Louvain (Master of economic law 1999); University of Leuven (J.D. 1998) </w:t>
      </w:r>
    </w:p>
    <w:p w:rsidR="002A6BA4" w:rsidRDefault="002A6BA4" w:rsidP="002A6BA4">
      <w:pPr>
        <w:spacing w:after="240" w:line="270" w:lineRule="atLeast"/>
        <w:rPr>
          <w:rFonts w:ascii="Verdana" w:eastAsia="Times New Roman" w:hAnsi="Verdana" w:cs="Times New Roman"/>
          <w:color w:val="000000"/>
          <w:sz w:val="18"/>
          <w:szCs w:val="18"/>
          <w:lang w:val="en-US" w:eastAsia="nl-BE"/>
        </w:rPr>
      </w:pPr>
      <w:bookmarkStart w:id="0" w:name="_GoBack"/>
      <w:bookmarkEnd w:id="0"/>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r w:rsidRPr="002A6BA4">
        <w:rPr>
          <w:rFonts w:ascii="Verdana" w:eastAsia="Times New Roman" w:hAnsi="Verdana" w:cs="Times New Roman"/>
          <w:color w:val="000000"/>
          <w:sz w:val="18"/>
          <w:szCs w:val="18"/>
          <w:lang w:val="en-US" w:eastAsia="nl-BE"/>
        </w:rPr>
        <w:t xml:space="preserve">Serge </w:t>
      </w:r>
      <w:proofErr w:type="spellStart"/>
      <w:r w:rsidRPr="002A6BA4">
        <w:rPr>
          <w:rFonts w:ascii="Verdana" w:eastAsia="Times New Roman" w:hAnsi="Verdana" w:cs="Times New Roman"/>
          <w:color w:val="000000"/>
          <w:sz w:val="18"/>
          <w:szCs w:val="18"/>
          <w:lang w:val="en-US" w:eastAsia="nl-BE"/>
        </w:rPr>
        <w:t>Clerckx</w:t>
      </w:r>
      <w:proofErr w:type="spellEnd"/>
      <w:r w:rsidRPr="002A6BA4">
        <w:rPr>
          <w:rFonts w:ascii="Verdana" w:eastAsia="Times New Roman" w:hAnsi="Verdana" w:cs="Times New Roman"/>
          <w:color w:val="000000"/>
          <w:sz w:val="18"/>
          <w:szCs w:val="18"/>
          <w:lang w:val="en-US" w:eastAsia="nl-BE"/>
        </w:rPr>
        <w:t xml:space="preserve"> has extensive experience in EU competition law and government regulation, particularly in the aerospace, consumer goods, technology, and ITC sectors.</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r w:rsidRPr="002A6BA4">
        <w:rPr>
          <w:rFonts w:ascii="Verdana" w:eastAsia="Times New Roman" w:hAnsi="Verdana" w:cs="Times New Roman"/>
          <w:color w:val="000000"/>
          <w:sz w:val="18"/>
          <w:szCs w:val="18"/>
          <w:lang w:val="en-US" w:eastAsia="nl-BE"/>
        </w:rPr>
        <w:t xml:space="preserve">His competition practice covers both merger control and antitrust. Serge has led several recent merger cases for P&amp;G, including the $12.5 billion sale of its beauty business (including Hugo Boss, Gucci, Max Factor, </w:t>
      </w:r>
      <w:proofErr w:type="spellStart"/>
      <w:r w:rsidRPr="002A6BA4">
        <w:rPr>
          <w:rFonts w:ascii="Verdana" w:eastAsia="Times New Roman" w:hAnsi="Verdana" w:cs="Times New Roman"/>
          <w:color w:val="000000"/>
          <w:sz w:val="18"/>
          <w:szCs w:val="18"/>
          <w:lang w:val="en-US" w:eastAsia="nl-BE"/>
        </w:rPr>
        <w:t>Wella</w:t>
      </w:r>
      <w:proofErr w:type="spellEnd"/>
      <w:r w:rsidRPr="002A6BA4">
        <w:rPr>
          <w:rFonts w:ascii="Verdana" w:eastAsia="Times New Roman" w:hAnsi="Verdana" w:cs="Times New Roman"/>
          <w:color w:val="000000"/>
          <w:sz w:val="18"/>
          <w:szCs w:val="18"/>
          <w:lang w:val="en-US" w:eastAsia="nl-BE"/>
        </w:rPr>
        <w:t>) to Coty; its acquisition of Sara Lee's air care business; and the sales of its European pet care business to Spectrum Brands, its global pet care business to Mars, its Pringles business to Kellogg, and its bleach business. He also led NextiraOne's acquisition by Dimension Data, Goodrich's merger with UTC, and TI's acquisition of National Semiconductors. His antitrust practice includes complex investigations and private enforcement litigation, including a €500 million damage claim for abuse of dominant position.</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r w:rsidRPr="002A6BA4">
        <w:rPr>
          <w:rFonts w:ascii="Verdana" w:eastAsia="Times New Roman" w:hAnsi="Verdana" w:cs="Times New Roman"/>
          <w:color w:val="000000"/>
          <w:sz w:val="18"/>
          <w:szCs w:val="18"/>
          <w:lang w:val="en-US" w:eastAsia="nl-BE"/>
        </w:rPr>
        <w:t>Serge's government regulatory work involves representation of clients in IT, communications, and other regulated industries at the international, EU, and national levels, including the representation of the GSM Association before the European Court of Justice in Case C-58/08 on the legal basis of the regulation of international roaming prices.</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r w:rsidRPr="002A6BA4">
        <w:rPr>
          <w:rFonts w:ascii="Verdana" w:eastAsia="Times New Roman" w:hAnsi="Verdana" w:cs="Times New Roman"/>
          <w:color w:val="000000"/>
          <w:sz w:val="18"/>
          <w:szCs w:val="18"/>
          <w:lang w:val="en-US" w:eastAsia="nl-BE"/>
        </w:rPr>
        <w:t xml:space="preserve">Other representative clients include The Carlyle Group, General Motors, </w:t>
      </w:r>
      <w:proofErr w:type="spellStart"/>
      <w:r w:rsidRPr="002A6BA4">
        <w:rPr>
          <w:rFonts w:ascii="Verdana" w:eastAsia="Times New Roman" w:hAnsi="Verdana" w:cs="Times New Roman"/>
          <w:color w:val="000000"/>
          <w:sz w:val="18"/>
          <w:szCs w:val="18"/>
          <w:lang w:val="en-US" w:eastAsia="nl-BE"/>
        </w:rPr>
        <w:t>Knauf</w:t>
      </w:r>
      <w:proofErr w:type="spellEnd"/>
      <w:r w:rsidRPr="002A6BA4">
        <w:rPr>
          <w:rFonts w:ascii="Verdana" w:eastAsia="Times New Roman" w:hAnsi="Verdana" w:cs="Times New Roman"/>
          <w:color w:val="000000"/>
          <w:sz w:val="18"/>
          <w:szCs w:val="18"/>
          <w:lang w:val="en-US" w:eastAsia="nl-BE"/>
        </w:rPr>
        <w:t xml:space="preserve"> Insulation, KPN Group Belgium, </w:t>
      </w:r>
      <w:proofErr w:type="spellStart"/>
      <w:r w:rsidRPr="002A6BA4">
        <w:rPr>
          <w:rFonts w:ascii="Verdana" w:eastAsia="Times New Roman" w:hAnsi="Verdana" w:cs="Times New Roman"/>
          <w:color w:val="000000"/>
          <w:sz w:val="18"/>
          <w:szCs w:val="18"/>
          <w:lang w:val="en-US" w:eastAsia="nl-BE"/>
        </w:rPr>
        <w:t>Socar</w:t>
      </w:r>
      <w:proofErr w:type="spellEnd"/>
      <w:r w:rsidRPr="002A6BA4">
        <w:rPr>
          <w:rFonts w:ascii="Verdana" w:eastAsia="Times New Roman" w:hAnsi="Verdana" w:cs="Times New Roman"/>
          <w:color w:val="000000"/>
          <w:sz w:val="18"/>
          <w:szCs w:val="18"/>
          <w:lang w:val="en-US" w:eastAsia="nl-BE"/>
        </w:rPr>
        <w:t xml:space="preserve"> Trading, UPM, and The World Bank.</w:t>
      </w:r>
    </w:p>
    <w:p w:rsidR="002A6BA4" w:rsidRPr="002A6BA4" w:rsidRDefault="002A6BA4" w:rsidP="002A6BA4">
      <w:pPr>
        <w:spacing w:line="270" w:lineRule="atLeast"/>
        <w:rPr>
          <w:rFonts w:ascii="Verdana" w:eastAsia="Times New Roman" w:hAnsi="Verdana" w:cs="Times New Roman"/>
          <w:color w:val="000000"/>
          <w:sz w:val="18"/>
          <w:szCs w:val="18"/>
          <w:lang w:val="en-US" w:eastAsia="nl-BE"/>
        </w:rPr>
      </w:pPr>
      <w:r w:rsidRPr="002A6BA4">
        <w:rPr>
          <w:rFonts w:ascii="Verdana" w:eastAsia="Times New Roman" w:hAnsi="Verdana" w:cs="Times New Roman"/>
          <w:color w:val="000000"/>
          <w:sz w:val="18"/>
          <w:szCs w:val="18"/>
          <w:lang w:val="en-US" w:eastAsia="nl-BE"/>
        </w:rPr>
        <w:t xml:space="preserve">Serge regularly speaks at conferences and frequently publishes on competition law and government regulation. He is a guest lecturer at Sciences Po, Paris. He won the 2012 Writing Award for Best Business Unilateral Conduct article from the Institute of Competition Law. He is recognized as a leading practitioner by </w:t>
      </w:r>
      <w:r w:rsidRPr="002A6BA4">
        <w:rPr>
          <w:rFonts w:ascii="Verdana" w:eastAsia="Times New Roman" w:hAnsi="Verdana" w:cs="Times New Roman"/>
          <w:i/>
          <w:iCs/>
          <w:color w:val="000000"/>
          <w:sz w:val="18"/>
          <w:szCs w:val="18"/>
          <w:lang w:val="en-US" w:eastAsia="nl-BE"/>
        </w:rPr>
        <w:t>Chambers</w:t>
      </w:r>
      <w:r w:rsidRPr="002A6BA4">
        <w:rPr>
          <w:rFonts w:ascii="Verdana" w:eastAsia="Times New Roman" w:hAnsi="Verdana" w:cs="Times New Roman"/>
          <w:color w:val="000000"/>
          <w:sz w:val="18"/>
          <w:szCs w:val="18"/>
          <w:lang w:val="en-US" w:eastAsia="nl-BE"/>
        </w:rPr>
        <w:t xml:space="preserve"> and </w:t>
      </w:r>
      <w:r w:rsidRPr="002A6BA4">
        <w:rPr>
          <w:rFonts w:ascii="Verdana" w:eastAsia="Times New Roman" w:hAnsi="Verdana" w:cs="Times New Roman"/>
          <w:i/>
          <w:iCs/>
          <w:color w:val="000000"/>
          <w:sz w:val="18"/>
          <w:szCs w:val="18"/>
          <w:lang w:val="en-US" w:eastAsia="nl-BE"/>
        </w:rPr>
        <w:t>Legal 500</w:t>
      </w:r>
      <w:r w:rsidRPr="002A6BA4">
        <w:rPr>
          <w:rFonts w:ascii="Verdana" w:eastAsia="Times New Roman" w:hAnsi="Verdana" w:cs="Times New Roman"/>
          <w:color w:val="000000"/>
          <w:sz w:val="18"/>
          <w:szCs w:val="18"/>
          <w:lang w:val="en-US" w:eastAsia="nl-BE"/>
        </w:rPr>
        <w:t>.</w:t>
      </w:r>
    </w:p>
    <w:p w:rsidR="002A6BA4" w:rsidRPr="002A6BA4" w:rsidRDefault="002A6BA4" w:rsidP="002A6BA4">
      <w:pPr>
        <w:pBdr>
          <w:top w:val="dotted" w:sz="6" w:space="2" w:color="B6B6B6"/>
          <w:bottom w:val="dotted" w:sz="6" w:space="2" w:color="B6B6B6"/>
        </w:pBdr>
        <w:spacing w:before="150" w:after="45" w:line="210" w:lineRule="atLeast"/>
        <w:outlineLvl w:val="2"/>
        <w:rPr>
          <w:rFonts w:ascii="Verdana" w:eastAsia="Times New Roman" w:hAnsi="Verdana" w:cs="Times New Roman"/>
          <w:b/>
          <w:bCs/>
          <w:caps/>
          <w:color w:val="000000"/>
          <w:sz w:val="17"/>
          <w:szCs w:val="17"/>
          <w:lang w:val="en-US" w:eastAsia="nl-BE"/>
        </w:rPr>
      </w:pPr>
      <w:r w:rsidRPr="002A6BA4">
        <w:rPr>
          <w:rFonts w:ascii="Verdana" w:eastAsia="Times New Roman" w:hAnsi="Verdana" w:cs="Times New Roman"/>
          <w:color w:val="000000"/>
          <w:sz w:val="18"/>
          <w:szCs w:val="18"/>
          <w:lang w:val="en-US" w:eastAsia="nl-BE"/>
        </w:rPr>
        <w:br/>
      </w:r>
      <w:r w:rsidRPr="002A6BA4">
        <w:rPr>
          <w:rFonts w:ascii="Verdana" w:eastAsia="Times New Roman" w:hAnsi="Verdana" w:cs="Times New Roman"/>
          <w:color w:val="000000"/>
          <w:sz w:val="18"/>
          <w:szCs w:val="18"/>
          <w:lang w:val="en-US" w:eastAsia="nl-BE"/>
        </w:rPr>
        <w:br/>
      </w:r>
      <w:r w:rsidRPr="002A6BA4">
        <w:rPr>
          <w:rFonts w:ascii="Verdana" w:eastAsia="Times New Roman" w:hAnsi="Verdana" w:cs="Times New Roman"/>
          <w:b/>
          <w:bCs/>
          <w:caps/>
          <w:color w:val="000000"/>
          <w:sz w:val="17"/>
          <w:szCs w:val="17"/>
          <w:lang w:val="en-US" w:eastAsia="nl-BE"/>
        </w:rPr>
        <w:t>Experience</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8" w:history="1">
        <w:r w:rsidRPr="002A6BA4">
          <w:rPr>
            <w:rFonts w:ascii="Verdana" w:eastAsia="Times New Roman" w:hAnsi="Verdana" w:cs="Times New Roman"/>
            <w:color w:val="003580"/>
            <w:sz w:val="18"/>
            <w:szCs w:val="18"/>
            <w:lang w:val="en-US" w:eastAsia="nl-BE"/>
          </w:rPr>
          <w:t>Procter &amp; Gamble sells European pet care business to Spectrum Brands</w:t>
        </w:r>
      </w:hyperlink>
      <w:r w:rsidRPr="002A6BA4">
        <w:rPr>
          <w:rFonts w:ascii="Verdana" w:eastAsia="Times New Roman" w:hAnsi="Verdana" w:cs="Times New Roman"/>
          <w:color w:val="000000"/>
          <w:sz w:val="18"/>
          <w:szCs w:val="18"/>
          <w:lang w:val="en-US" w:eastAsia="nl-BE"/>
        </w:rPr>
        <w:br/>
        <w:t>Jones Day advised The Procter &amp; Gamble Company in the sale of its European pet care business, including its IAMS® and EUKANUBA® brands, to Spectrum Brands Holdings, Inc.</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9" w:history="1">
        <w:r w:rsidRPr="002A6BA4">
          <w:rPr>
            <w:rFonts w:ascii="Verdana" w:eastAsia="Times New Roman" w:hAnsi="Verdana" w:cs="Times New Roman"/>
            <w:color w:val="003580"/>
            <w:sz w:val="18"/>
            <w:szCs w:val="18"/>
            <w:lang w:val="en-US" w:eastAsia="nl-BE"/>
          </w:rPr>
          <w:t>Procter &amp; Gamble sells global (excluding most of Europe) pet care business to Mars for $2.9 billion</w:t>
        </w:r>
      </w:hyperlink>
      <w:r w:rsidRPr="002A6BA4">
        <w:rPr>
          <w:rFonts w:ascii="Verdana" w:eastAsia="Times New Roman" w:hAnsi="Verdana" w:cs="Times New Roman"/>
          <w:color w:val="000000"/>
          <w:sz w:val="18"/>
          <w:szCs w:val="18"/>
          <w:lang w:val="en-US" w:eastAsia="nl-BE"/>
        </w:rPr>
        <w:br/>
        <w:t>Jones Day advised The Procter &amp; Gamble Company in the $2.9 billion sale of its global (excluding most of Europe) pet care business, including its IAMS</w:t>
      </w:r>
      <w:r w:rsidRPr="002A6BA4">
        <w:rPr>
          <w:rFonts w:ascii="Verdana" w:eastAsia="Times New Roman" w:hAnsi="Verdana" w:cs="Times New Roman"/>
          <w:color w:val="000000"/>
          <w:sz w:val="18"/>
          <w:szCs w:val="18"/>
          <w:vertAlign w:val="superscript"/>
          <w:lang w:val="en-US" w:eastAsia="nl-BE"/>
        </w:rPr>
        <w:t>®</w:t>
      </w:r>
      <w:r w:rsidRPr="002A6BA4">
        <w:rPr>
          <w:rFonts w:ascii="Verdana" w:eastAsia="Times New Roman" w:hAnsi="Verdana" w:cs="Times New Roman"/>
          <w:color w:val="000000"/>
          <w:sz w:val="18"/>
          <w:szCs w:val="18"/>
          <w:lang w:val="en-US" w:eastAsia="nl-BE"/>
        </w:rPr>
        <w:t>, EUKANUBA</w:t>
      </w:r>
      <w:r w:rsidRPr="002A6BA4">
        <w:rPr>
          <w:rFonts w:ascii="Verdana" w:eastAsia="Times New Roman" w:hAnsi="Verdana" w:cs="Times New Roman"/>
          <w:color w:val="000000"/>
          <w:sz w:val="18"/>
          <w:szCs w:val="18"/>
          <w:vertAlign w:val="superscript"/>
          <w:lang w:val="en-US" w:eastAsia="nl-BE"/>
        </w:rPr>
        <w:t>®</w:t>
      </w:r>
      <w:r w:rsidRPr="002A6BA4">
        <w:rPr>
          <w:rFonts w:ascii="Verdana" w:eastAsia="Times New Roman" w:hAnsi="Verdana" w:cs="Times New Roman"/>
          <w:color w:val="000000"/>
          <w:sz w:val="18"/>
          <w:szCs w:val="18"/>
          <w:lang w:val="en-US" w:eastAsia="nl-BE"/>
        </w:rPr>
        <w:t>, and NATURA</w:t>
      </w:r>
      <w:r w:rsidRPr="002A6BA4">
        <w:rPr>
          <w:rFonts w:ascii="Verdana" w:eastAsia="Times New Roman" w:hAnsi="Verdana" w:cs="Times New Roman"/>
          <w:color w:val="000000"/>
          <w:sz w:val="18"/>
          <w:szCs w:val="18"/>
          <w:vertAlign w:val="superscript"/>
          <w:lang w:val="en-US" w:eastAsia="nl-BE"/>
        </w:rPr>
        <w:t>®</w:t>
      </w:r>
      <w:r w:rsidRPr="002A6BA4">
        <w:rPr>
          <w:rFonts w:ascii="Verdana" w:eastAsia="Times New Roman" w:hAnsi="Verdana" w:cs="Times New Roman"/>
          <w:color w:val="000000"/>
          <w:sz w:val="18"/>
          <w:szCs w:val="18"/>
          <w:lang w:val="en-US" w:eastAsia="nl-BE"/>
        </w:rPr>
        <w:t xml:space="preserve"> brands, to Mars, Inc.</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0" w:history="1">
        <w:r w:rsidRPr="002A6BA4">
          <w:rPr>
            <w:rFonts w:ascii="Verdana" w:eastAsia="Times New Roman" w:hAnsi="Verdana" w:cs="Times New Roman"/>
            <w:color w:val="003580"/>
            <w:sz w:val="18"/>
            <w:szCs w:val="18"/>
            <w:lang w:val="en-US" w:eastAsia="nl-BE"/>
          </w:rPr>
          <w:t>Goodrich merges with industrial conglomerate United Technologies for $18.4 billion</w:t>
        </w:r>
      </w:hyperlink>
      <w:r w:rsidRPr="002A6BA4">
        <w:rPr>
          <w:rFonts w:ascii="Verdana" w:eastAsia="Times New Roman" w:hAnsi="Verdana" w:cs="Times New Roman"/>
          <w:color w:val="000000"/>
          <w:sz w:val="18"/>
          <w:szCs w:val="18"/>
          <w:lang w:val="en-US" w:eastAsia="nl-BE"/>
        </w:rPr>
        <w:br/>
        <w:t>Jones Day advised Goodrich Corporation in its $18.4 billion merger with United Technologies Corp., marking a major milestone for the company and strengthening its position in the commercial aerospace industry.</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1" w:history="1">
        <w:r w:rsidRPr="002A6BA4">
          <w:rPr>
            <w:rFonts w:ascii="Verdana" w:eastAsia="Times New Roman" w:hAnsi="Verdana" w:cs="Times New Roman"/>
            <w:color w:val="003580"/>
            <w:sz w:val="18"/>
            <w:szCs w:val="18"/>
            <w:lang w:val="en-US" w:eastAsia="nl-BE"/>
          </w:rPr>
          <w:t>Procter &amp; Gamble sells bleach businesses</w:t>
        </w:r>
      </w:hyperlink>
      <w:r w:rsidRPr="002A6BA4">
        <w:rPr>
          <w:rFonts w:ascii="Verdana" w:eastAsia="Times New Roman" w:hAnsi="Verdana" w:cs="Times New Roman"/>
          <w:color w:val="000000"/>
          <w:sz w:val="18"/>
          <w:szCs w:val="18"/>
          <w:lang w:val="en-US" w:eastAsia="nl-BE"/>
        </w:rPr>
        <w:br/>
        <w:t xml:space="preserve">Jones Day advised The Procter &amp; Gamble Company ("P&amp;G") in the sale of its central European, eastern European, and </w:t>
      </w:r>
      <w:proofErr w:type="gramStart"/>
      <w:r w:rsidRPr="002A6BA4">
        <w:rPr>
          <w:rFonts w:ascii="Verdana" w:eastAsia="Times New Roman" w:hAnsi="Verdana" w:cs="Times New Roman"/>
          <w:color w:val="000000"/>
          <w:sz w:val="18"/>
          <w:szCs w:val="18"/>
          <w:lang w:val="en-US" w:eastAsia="nl-BE"/>
        </w:rPr>
        <w:t>middle eastern</w:t>
      </w:r>
      <w:proofErr w:type="gramEnd"/>
      <w:r w:rsidRPr="002A6BA4">
        <w:rPr>
          <w:rFonts w:ascii="Verdana" w:eastAsia="Times New Roman" w:hAnsi="Verdana" w:cs="Times New Roman"/>
          <w:color w:val="000000"/>
          <w:sz w:val="18"/>
          <w:szCs w:val="18"/>
          <w:lang w:val="en-US" w:eastAsia="nl-BE"/>
        </w:rPr>
        <w:t xml:space="preserve"> bleach businesses.</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2" w:history="1">
        <w:r w:rsidRPr="002A6BA4">
          <w:rPr>
            <w:rFonts w:ascii="Verdana" w:eastAsia="Times New Roman" w:hAnsi="Verdana" w:cs="Times New Roman"/>
            <w:color w:val="003580"/>
            <w:sz w:val="18"/>
            <w:szCs w:val="18"/>
            <w:lang w:val="en-US" w:eastAsia="nl-BE"/>
          </w:rPr>
          <w:t>NextiraOne sells 16 European companies to Dimension Data Group</w:t>
        </w:r>
      </w:hyperlink>
      <w:r w:rsidRPr="002A6BA4">
        <w:rPr>
          <w:rFonts w:ascii="Verdana" w:eastAsia="Times New Roman" w:hAnsi="Verdana" w:cs="Times New Roman"/>
          <w:color w:val="000000"/>
          <w:sz w:val="18"/>
          <w:szCs w:val="18"/>
          <w:lang w:val="en-US" w:eastAsia="nl-BE"/>
        </w:rPr>
        <w:br/>
        <w:t>Jones Day represented NextiraOne Europe B.V., a pan-European telecommunications services and hardware/software provider (the ex-Alcatel e-Business division), in connection with the divestiture of 16 of its subsidiaries in 13 countries throughout Europe to the Dimension Data Group, an affiliate of NTT.</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3" w:history="1">
        <w:r w:rsidRPr="002A6BA4">
          <w:rPr>
            <w:rFonts w:ascii="Verdana" w:eastAsia="Times New Roman" w:hAnsi="Verdana" w:cs="Times New Roman"/>
            <w:color w:val="003580"/>
            <w:sz w:val="18"/>
            <w:szCs w:val="18"/>
            <w:lang w:val="en-US" w:eastAsia="nl-BE"/>
          </w:rPr>
          <w:t xml:space="preserve">Procter &amp; Gamble sells bleach and cleaning products business in Western Europe to </w:t>
        </w:r>
        <w:proofErr w:type="spellStart"/>
        <w:r w:rsidRPr="002A6BA4">
          <w:rPr>
            <w:rFonts w:ascii="Verdana" w:eastAsia="Times New Roman" w:hAnsi="Verdana" w:cs="Times New Roman"/>
            <w:color w:val="003580"/>
            <w:sz w:val="18"/>
            <w:szCs w:val="18"/>
            <w:lang w:val="en-US" w:eastAsia="nl-BE"/>
          </w:rPr>
          <w:t>Fater</w:t>
        </w:r>
        <w:proofErr w:type="spellEnd"/>
      </w:hyperlink>
      <w:r w:rsidRPr="002A6BA4">
        <w:rPr>
          <w:rFonts w:ascii="Verdana" w:eastAsia="Times New Roman" w:hAnsi="Verdana" w:cs="Times New Roman"/>
          <w:color w:val="000000"/>
          <w:sz w:val="18"/>
          <w:szCs w:val="18"/>
          <w:lang w:val="en-US" w:eastAsia="nl-BE"/>
        </w:rPr>
        <w:br/>
        <w:t xml:space="preserve">Jones Day advised The Procter &amp; Gamble Company in the sale of its bleach products business, and a portion of its hard surface cleaning products business, in Western Europe to </w:t>
      </w:r>
      <w:proofErr w:type="spellStart"/>
      <w:r w:rsidRPr="002A6BA4">
        <w:rPr>
          <w:rFonts w:ascii="Verdana" w:eastAsia="Times New Roman" w:hAnsi="Verdana" w:cs="Times New Roman"/>
          <w:color w:val="000000"/>
          <w:sz w:val="18"/>
          <w:szCs w:val="18"/>
          <w:lang w:val="en-US" w:eastAsia="nl-BE"/>
        </w:rPr>
        <w:t>Fater</w:t>
      </w:r>
      <w:proofErr w:type="spellEnd"/>
      <w:r w:rsidRPr="002A6BA4">
        <w:rPr>
          <w:rFonts w:ascii="Verdana" w:eastAsia="Times New Roman" w:hAnsi="Verdana" w:cs="Times New Roman"/>
          <w:color w:val="000000"/>
          <w:sz w:val="18"/>
          <w:szCs w:val="18"/>
          <w:lang w:val="en-US" w:eastAsia="nl-BE"/>
        </w:rPr>
        <w:t xml:space="preserve"> S.p.A., a joint venture of </w:t>
      </w:r>
      <w:proofErr w:type="spellStart"/>
      <w:r w:rsidRPr="002A6BA4">
        <w:rPr>
          <w:rFonts w:ascii="Verdana" w:eastAsia="Times New Roman" w:hAnsi="Verdana" w:cs="Times New Roman"/>
          <w:color w:val="000000"/>
          <w:sz w:val="18"/>
          <w:szCs w:val="18"/>
          <w:lang w:val="en-US" w:eastAsia="nl-BE"/>
        </w:rPr>
        <w:t>Tenimenti</w:t>
      </w:r>
      <w:proofErr w:type="spellEnd"/>
      <w:r w:rsidRPr="002A6BA4">
        <w:rPr>
          <w:rFonts w:ascii="Verdana" w:eastAsia="Times New Roman" w:hAnsi="Verdana" w:cs="Times New Roman"/>
          <w:color w:val="000000"/>
          <w:sz w:val="18"/>
          <w:szCs w:val="18"/>
          <w:lang w:val="en-US" w:eastAsia="nl-BE"/>
        </w:rPr>
        <w:t xml:space="preserve"> </w:t>
      </w:r>
      <w:proofErr w:type="spellStart"/>
      <w:r w:rsidRPr="002A6BA4">
        <w:rPr>
          <w:rFonts w:ascii="Verdana" w:eastAsia="Times New Roman" w:hAnsi="Verdana" w:cs="Times New Roman"/>
          <w:color w:val="000000"/>
          <w:sz w:val="18"/>
          <w:szCs w:val="18"/>
          <w:lang w:val="en-US" w:eastAsia="nl-BE"/>
        </w:rPr>
        <w:t>Angelini</w:t>
      </w:r>
      <w:proofErr w:type="spellEnd"/>
      <w:r w:rsidRPr="002A6BA4">
        <w:rPr>
          <w:rFonts w:ascii="Verdana" w:eastAsia="Times New Roman" w:hAnsi="Verdana" w:cs="Times New Roman"/>
          <w:color w:val="000000"/>
          <w:sz w:val="18"/>
          <w:szCs w:val="18"/>
          <w:lang w:val="en-US" w:eastAsia="nl-BE"/>
        </w:rPr>
        <w:t xml:space="preserve"> </w:t>
      </w:r>
      <w:proofErr w:type="spellStart"/>
      <w:r w:rsidRPr="002A6BA4">
        <w:rPr>
          <w:rFonts w:ascii="Verdana" w:eastAsia="Times New Roman" w:hAnsi="Verdana" w:cs="Times New Roman"/>
          <w:color w:val="000000"/>
          <w:sz w:val="18"/>
          <w:szCs w:val="18"/>
          <w:lang w:val="en-US" w:eastAsia="nl-BE"/>
        </w:rPr>
        <w:t>Sp.A</w:t>
      </w:r>
      <w:proofErr w:type="spellEnd"/>
      <w:r w:rsidRPr="002A6BA4">
        <w:rPr>
          <w:rFonts w:ascii="Verdana" w:eastAsia="Times New Roman" w:hAnsi="Verdana" w:cs="Times New Roman"/>
          <w:color w:val="000000"/>
          <w:sz w:val="18"/>
          <w:szCs w:val="18"/>
          <w:lang w:val="en-US" w:eastAsia="nl-BE"/>
        </w:rPr>
        <w:t xml:space="preserve">. </w:t>
      </w:r>
      <w:proofErr w:type="gramStart"/>
      <w:r w:rsidRPr="002A6BA4">
        <w:rPr>
          <w:rFonts w:ascii="Verdana" w:eastAsia="Times New Roman" w:hAnsi="Verdana" w:cs="Times New Roman"/>
          <w:color w:val="000000"/>
          <w:sz w:val="18"/>
          <w:szCs w:val="18"/>
          <w:lang w:val="en-US" w:eastAsia="nl-BE"/>
        </w:rPr>
        <w:t>and</w:t>
      </w:r>
      <w:proofErr w:type="gramEnd"/>
      <w:r w:rsidRPr="002A6BA4">
        <w:rPr>
          <w:rFonts w:ascii="Verdana" w:eastAsia="Times New Roman" w:hAnsi="Verdana" w:cs="Times New Roman"/>
          <w:color w:val="000000"/>
          <w:sz w:val="18"/>
          <w:szCs w:val="18"/>
          <w:lang w:val="en-US" w:eastAsia="nl-BE"/>
        </w:rPr>
        <w:t xml:space="preserve"> P&amp;G.</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4" w:history="1">
        <w:r w:rsidRPr="002A6BA4">
          <w:rPr>
            <w:rFonts w:ascii="Verdana" w:eastAsia="Times New Roman" w:hAnsi="Verdana" w:cs="Times New Roman"/>
            <w:color w:val="003580"/>
            <w:sz w:val="18"/>
            <w:szCs w:val="18"/>
            <w:lang w:val="en-US" w:eastAsia="nl-BE"/>
          </w:rPr>
          <w:t xml:space="preserve">Procter &amp; Gamble buys out </w:t>
        </w:r>
        <w:proofErr w:type="spellStart"/>
        <w:r w:rsidRPr="002A6BA4">
          <w:rPr>
            <w:rFonts w:ascii="Verdana" w:eastAsia="Times New Roman" w:hAnsi="Verdana" w:cs="Times New Roman"/>
            <w:color w:val="003580"/>
            <w:sz w:val="18"/>
            <w:szCs w:val="18"/>
            <w:lang w:val="en-US" w:eastAsia="nl-BE"/>
          </w:rPr>
          <w:t>Agrolimen</w:t>
        </w:r>
        <w:proofErr w:type="spellEnd"/>
        <w:r w:rsidRPr="002A6BA4">
          <w:rPr>
            <w:rFonts w:ascii="Verdana" w:eastAsia="Times New Roman" w:hAnsi="Verdana" w:cs="Times New Roman"/>
            <w:color w:val="003580"/>
            <w:sz w:val="18"/>
            <w:szCs w:val="18"/>
            <w:lang w:val="en-US" w:eastAsia="nl-BE"/>
          </w:rPr>
          <w:t xml:space="preserve"> Group joint venture for $1.1 billion; takes over household product company </w:t>
        </w:r>
        <w:proofErr w:type="spellStart"/>
        <w:r w:rsidRPr="002A6BA4">
          <w:rPr>
            <w:rFonts w:ascii="Verdana" w:eastAsia="Times New Roman" w:hAnsi="Verdana" w:cs="Times New Roman"/>
            <w:color w:val="003580"/>
            <w:sz w:val="18"/>
            <w:szCs w:val="18"/>
            <w:lang w:val="en-US" w:eastAsia="nl-BE"/>
          </w:rPr>
          <w:t>Arbora</w:t>
        </w:r>
        <w:proofErr w:type="spellEnd"/>
        <w:r w:rsidRPr="002A6BA4">
          <w:rPr>
            <w:rFonts w:ascii="Verdana" w:eastAsia="Times New Roman" w:hAnsi="Verdana" w:cs="Times New Roman"/>
            <w:color w:val="003580"/>
            <w:sz w:val="18"/>
            <w:szCs w:val="18"/>
            <w:lang w:val="en-US" w:eastAsia="nl-BE"/>
          </w:rPr>
          <w:t xml:space="preserve"> &amp; </w:t>
        </w:r>
        <w:proofErr w:type="spellStart"/>
        <w:r w:rsidRPr="002A6BA4">
          <w:rPr>
            <w:rFonts w:ascii="Verdana" w:eastAsia="Times New Roman" w:hAnsi="Verdana" w:cs="Times New Roman"/>
            <w:color w:val="003580"/>
            <w:sz w:val="18"/>
            <w:szCs w:val="18"/>
            <w:lang w:val="en-US" w:eastAsia="nl-BE"/>
          </w:rPr>
          <w:t>Ausonia</w:t>
        </w:r>
        <w:proofErr w:type="spellEnd"/>
      </w:hyperlink>
      <w:r w:rsidRPr="002A6BA4">
        <w:rPr>
          <w:rFonts w:ascii="Verdana" w:eastAsia="Times New Roman" w:hAnsi="Verdana" w:cs="Times New Roman"/>
          <w:color w:val="000000"/>
          <w:sz w:val="18"/>
          <w:szCs w:val="18"/>
          <w:lang w:val="en-US" w:eastAsia="nl-BE"/>
        </w:rPr>
        <w:br/>
        <w:t xml:space="preserve">Jones Day advised The Procter &amp; Gamble Company in buying out the rest of its joint venture with </w:t>
      </w:r>
      <w:proofErr w:type="spellStart"/>
      <w:r w:rsidRPr="002A6BA4">
        <w:rPr>
          <w:rFonts w:ascii="Verdana" w:eastAsia="Times New Roman" w:hAnsi="Verdana" w:cs="Times New Roman"/>
          <w:color w:val="000000"/>
          <w:sz w:val="18"/>
          <w:szCs w:val="18"/>
          <w:lang w:val="en-US" w:eastAsia="nl-BE"/>
        </w:rPr>
        <w:t>Agrolimen</w:t>
      </w:r>
      <w:proofErr w:type="spellEnd"/>
      <w:r w:rsidRPr="002A6BA4">
        <w:rPr>
          <w:rFonts w:ascii="Verdana" w:eastAsia="Times New Roman" w:hAnsi="Verdana" w:cs="Times New Roman"/>
          <w:color w:val="000000"/>
          <w:sz w:val="18"/>
          <w:szCs w:val="18"/>
          <w:lang w:val="en-US" w:eastAsia="nl-BE"/>
        </w:rPr>
        <w:t xml:space="preserve"> Group in the Spanish joint venture, </w:t>
      </w:r>
      <w:proofErr w:type="spellStart"/>
      <w:r w:rsidRPr="002A6BA4">
        <w:rPr>
          <w:rFonts w:ascii="Verdana" w:eastAsia="Times New Roman" w:hAnsi="Verdana" w:cs="Times New Roman"/>
          <w:color w:val="000000"/>
          <w:sz w:val="18"/>
          <w:szCs w:val="18"/>
          <w:lang w:val="en-US" w:eastAsia="nl-BE"/>
        </w:rPr>
        <w:t>Arbora</w:t>
      </w:r>
      <w:proofErr w:type="spellEnd"/>
      <w:r w:rsidRPr="002A6BA4">
        <w:rPr>
          <w:rFonts w:ascii="Verdana" w:eastAsia="Times New Roman" w:hAnsi="Verdana" w:cs="Times New Roman"/>
          <w:color w:val="000000"/>
          <w:sz w:val="18"/>
          <w:szCs w:val="18"/>
          <w:lang w:val="en-US" w:eastAsia="nl-BE"/>
        </w:rPr>
        <w:t xml:space="preserve"> &amp; </w:t>
      </w:r>
      <w:proofErr w:type="spellStart"/>
      <w:r w:rsidRPr="002A6BA4">
        <w:rPr>
          <w:rFonts w:ascii="Verdana" w:eastAsia="Times New Roman" w:hAnsi="Verdana" w:cs="Times New Roman"/>
          <w:color w:val="000000"/>
          <w:sz w:val="18"/>
          <w:szCs w:val="18"/>
          <w:lang w:val="en-US" w:eastAsia="nl-BE"/>
        </w:rPr>
        <w:t>Ausonia</w:t>
      </w:r>
      <w:proofErr w:type="spellEnd"/>
      <w:r w:rsidRPr="002A6BA4">
        <w:rPr>
          <w:rFonts w:ascii="Verdana" w:eastAsia="Times New Roman" w:hAnsi="Verdana" w:cs="Times New Roman"/>
          <w:color w:val="000000"/>
          <w:sz w:val="18"/>
          <w:szCs w:val="18"/>
          <w:lang w:val="en-US" w:eastAsia="nl-BE"/>
        </w:rPr>
        <w:t>, for $1.1 billion.</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5" w:history="1">
        <w:r w:rsidRPr="002A6BA4">
          <w:rPr>
            <w:rFonts w:ascii="Verdana" w:eastAsia="Times New Roman" w:hAnsi="Verdana" w:cs="Times New Roman"/>
            <w:color w:val="003580"/>
            <w:sz w:val="18"/>
            <w:szCs w:val="18"/>
            <w:lang w:val="en-US" w:eastAsia="nl-BE"/>
          </w:rPr>
          <w:t xml:space="preserve">Procter &amp; Gamble sells perpetual licensing of Braun brand for use in household small appliances to </w:t>
        </w:r>
        <w:proofErr w:type="spellStart"/>
        <w:r w:rsidRPr="002A6BA4">
          <w:rPr>
            <w:rFonts w:ascii="Verdana" w:eastAsia="Times New Roman" w:hAnsi="Verdana" w:cs="Times New Roman"/>
            <w:color w:val="003580"/>
            <w:sz w:val="18"/>
            <w:szCs w:val="18"/>
            <w:lang w:val="en-US" w:eastAsia="nl-BE"/>
          </w:rPr>
          <w:t>De'Longhi</w:t>
        </w:r>
        <w:proofErr w:type="spellEnd"/>
      </w:hyperlink>
      <w:r w:rsidRPr="002A6BA4">
        <w:rPr>
          <w:rFonts w:ascii="Verdana" w:eastAsia="Times New Roman" w:hAnsi="Verdana" w:cs="Times New Roman"/>
          <w:color w:val="000000"/>
          <w:sz w:val="18"/>
          <w:szCs w:val="18"/>
          <w:lang w:val="en-US" w:eastAsia="nl-BE"/>
        </w:rPr>
        <w:br/>
        <w:t xml:space="preserve">Jones Day advised The Procter &amp; Gamble Company in the sale of its household appliances business conducted under the "Braun" trademark to </w:t>
      </w:r>
      <w:proofErr w:type="spellStart"/>
      <w:r w:rsidRPr="002A6BA4">
        <w:rPr>
          <w:rFonts w:ascii="Verdana" w:eastAsia="Times New Roman" w:hAnsi="Verdana" w:cs="Times New Roman"/>
          <w:color w:val="000000"/>
          <w:sz w:val="18"/>
          <w:szCs w:val="18"/>
          <w:lang w:val="en-US" w:eastAsia="nl-BE"/>
        </w:rPr>
        <w:t>De'Longhi</w:t>
      </w:r>
      <w:proofErr w:type="spellEnd"/>
      <w:r w:rsidRPr="002A6BA4">
        <w:rPr>
          <w:rFonts w:ascii="Verdana" w:eastAsia="Times New Roman" w:hAnsi="Verdana" w:cs="Times New Roman"/>
          <w:color w:val="000000"/>
          <w:sz w:val="18"/>
          <w:szCs w:val="18"/>
          <w:lang w:val="en-US" w:eastAsia="nl-BE"/>
        </w:rPr>
        <w:t xml:space="preserve">, S.p.A. for a total consideration of €140 million ($183.7 million) and an </w:t>
      </w:r>
      <w:proofErr w:type="spellStart"/>
      <w:r w:rsidRPr="002A6BA4">
        <w:rPr>
          <w:rFonts w:ascii="Verdana" w:eastAsia="Times New Roman" w:hAnsi="Verdana" w:cs="Times New Roman"/>
          <w:color w:val="000000"/>
          <w:sz w:val="18"/>
          <w:szCs w:val="18"/>
          <w:lang w:val="en-US" w:eastAsia="nl-BE"/>
        </w:rPr>
        <w:t>earnout</w:t>
      </w:r>
      <w:proofErr w:type="spellEnd"/>
      <w:r w:rsidRPr="002A6BA4">
        <w:rPr>
          <w:rFonts w:ascii="Verdana" w:eastAsia="Times New Roman" w:hAnsi="Verdana" w:cs="Times New Roman"/>
          <w:color w:val="000000"/>
          <w:sz w:val="18"/>
          <w:szCs w:val="18"/>
          <w:lang w:val="en-US" w:eastAsia="nl-BE"/>
        </w:rPr>
        <w:t xml:space="preserve"> opportunity of an additional €74 million ($97 million).</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6" w:history="1">
        <w:r w:rsidRPr="002A6BA4">
          <w:rPr>
            <w:rFonts w:ascii="Verdana" w:eastAsia="Times New Roman" w:hAnsi="Verdana" w:cs="Times New Roman"/>
            <w:color w:val="003580"/>
            <w:sz w:val="18"/>
            <w:szCs w:val="18"/>
            <w:lang w:val="en-US" w:eastAsia="nl-BE"/>
          </w:rPr>
          <w:t>Procter &amp; Gamble sells Pringles snacks business to Kellogg for $2.7 billion</w:t>
        </w:r>
      </w:hyperlink>
      <w:r w:rsidRPr="002A6BA4">
        <w:rPr>
          <w:rFonts w:ascii="Verdana" w:eastAsia="Times New Roman" w:hAnsi="Verdana" w:cs="Times New Roman"/>
          <w:color w:val="000000"/>
          <w:sz w:val="18"/>
          <w:szCs w:val="18"/>
          <w:lang w:val="en-US" w:eastAsia="nl-BE"/>
        </w:rPr>
        <w:br/>
        <w:t>Jones Day advised The Procter &amp; Gamble Company in the sale of its Pringles snacks business to The Kellogg Company in a $2.7 billion all-cash transaction.</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7" w:history="1">
        <w:r w:rsidRPr="002A6BA4">
          <w:rPr>
            <w:rFonts w:ascii="Verdana" w:eastAsia="Times New Roman" w:hAnsi="Verdana" w:cs="Times New Roman"/>
            <w:color w:val="003580"/>
            <w:sz w:val="18"/>
            <w:szCs w:val="18"/>
            <w:lang w:val="en-US" w:eastAsia="nl-BE"/>
          </w:rPr>
          <w:t xml:space="preserve">Platinum Equity sells Belgian </w:t>
        </w:r>
        <w:proofErr w:type="spellStart"/>
        <w:r w:rsidRPr="002A6BA4">
          <w:rPr>
            <w:rFonts w:ascii="Verdana" w:eastAsia="Times New Roman" w:hAnsi="Verdana" w:cs="Times New Roman"/>
            <w:color w:val="003580"/>
            <w:sz w:val="18"/>
            <w:szCs w:val="18"/>
            <w:lang w:val="en-US" w:eastAsia="nl-BE"/>
          </w:rPr>
          <w:t>fibreglass</w:t>
        </w:r>
        <w:proofErr w:type="spellEnd"/>
        <w:r w:rsidRPr="002A6BA4">
          <w:rPr>
            <w:rFonts w:ascii="Verdana" w:eastAsia="Times New Roman" w:hAnsi="Verdana" w:cs="Times New Roman"/>
            <w:color w:val="003580"/>
            <w:sz w:val="18"/>
            <w:szCs w:val="18"/>
            <w:lang w:val="en-US" w:eastAsia="nl-BE"/>
          </w:rPr>
          <w:t xml:space="preserve"> company 3B for $365 million</w:t>
        </w:r>
      </w:hyperlink>
      <w:r w:rsidRPr="002A6BA4">
        <w:rPr>
          <w:rFonts w:ascii="Verdana" w:eastAsia="Times New Roman" w:hAnsi="Verdana" w:cs="Times New Roman"/>
          <w:color w:val="000000"/>
          <w:sz w:val="18"/>
          <w:szCs w:val="18"/>
          <w:lang w:val="en-US" w:eastAsia="nl-BE"/>
        </w:rPr>
        <w:br/>
        <w:t xml:space="preserve">Jones Day advised Platinum Equity LLC in the €275 million ($365 million) sale of its </w:t>
      </w:r>
      <w:proofErr w:type="spellStart"/>
      <w:r w:rsidRPr="002A6BA4">
        <w:rPr>
          <w:rFonts w:ascii="Verdana" w:eastAsia="Times New Roman" w:hAnsi="Verdana" w:cs="Times New Roman"/>
          <w:color w:val="000000"/>
          <w:sz w:val="18"/>
          <w:szCs w:val="18"/>
          <w:lang w:val="en-US" w:eastAsia="nl-BE"/>
        </w:rPr>
        <w:t>fibreglass</w:t>
      </w:r>
      <w:proofErr w:type="spellEnd"/>
      <w:r w:rsidRPr="002A6BA4">
        <w:rPr>
          <w:rFonts w:ascii="Verdana" w:eastAsia="Times New Roman" w:hAnsi="Verdana" w:cs="Times New Roman"/>
          <w:color w:val="000000"/>
          <w:sz w:val="18"/>
          <w:szCs w:val="18"/>
          <w:lang w:val="en-US" w:eastAsia="nl-BE"/>
        </w:rPr>
        <w:t xml:space="preserve"> business in Belgium, Luxembourg, Norway and Tunisia (known as "3B - The </w:t>
      </w:r>
      <w:proofErr w:type="spellStart"/>
      <w:r w:rsidRPr="002A6BA4">
        <w:rPr>
          <w:rFonts w:ascii="Verdana" w:eastAsia="Times New Roman" w:hAnsi="Verdana" w:cs="Times New Roman"/>
          <w:color w:val="000000"/>
          <w:sz w:val="18"/>
          <w:szCs w:val="18"/>
          <w:lang w:val="en-US" w:eastAsia="nl-BE"/>
        </w:rPr>
        <w:t>Fibreglass</w:t>
      </w:r>
      <w:proofErr w:type="spellEnd"/>
      <w:r w:rsidRPr="002A6BA4">
        <w:rPr>
          <w:rFonts w:ascii="Verdana" w:eastAsia="Times New Roman" w:hAnsi="Verdana" w:cs="Times New Roman"/>
          <w:color w:val="000000"/>
          <w:sz w:val="18"/>
          <w:szCs w:val="18"/>
          <w:lang w:val="en-US" w:eastAsia="nl-BE"/>
        </w:rPr>
        <w:t xml:space="preserve"> Company") to </w:t>
      </w:r>
      <w:proofErr w:type="spellStart"/>
      <w:r w:rsidRPr="002A6BA4">
        <w:rPr>
          <w:rFonts w:ascii="Verdana" w:eastAsia="Times New Roman" w:hAnsi="Verdana" w:cs="Times New Roman"/>
          <w:color w:val="000000"/>
          <w:sz w:val="18"/>
          <w:szCs w:val="18"/>
          <w:lang w:val="en-US" w:eastAsia="nl-BE"/>
        </w:rPr>
        <w:t>Binani</w:t>
      </w:r>
      <w:proofErr w:type="spellEnd"/>
      <w:r w:rsidRPr="002A6BA4">
        <w:rPr>
          <w:rFonts w:ascii="Verdana" w:eastAsia="Times New Roman" w:hAnsi="Verdana" w:cs="Times New Roman"/>
          <w:color w:val="000000"/>
          <w:sz w:val="18"/>
          <w:szCs w:val="18"/>
          <w:lang w:val="en-US" w:eastAsia="nl-BE"/>
        </w:rPr>
        <w:t xml:space="preserve"> Industries, an Indian conglomerate which is part of the </w:t>
      </w:r>
      <w:proofErr w:type="spellStart"/>
      <w:r w:rsidRPr="002A6BA4">
        <w:rPr>
          <w:rFonts w:ascii="Verdana" w:eastAsia="Times New Roman" w:hAnsi="Verdana" w:cs="Times New Roman"/>
          <w:color w:val="000000"/>
          <w:sz w:val="18"/>
          <w:szCs w:val="18"/>
          <w:lang w:val="en-US" w:eastAsia="nl-BE"/>
        </w:rPr>
        <w:t>Braj</w:t>
      </w:r>
      <w:proofErr w:type="spellEnd"/>
      <w:r w:rsidRPr="002A6BA4">
        <w:rPr>
          <w:rFonts w:ascii="Verdana" w:eastAsia="Times New Roman" w:hAnsi="Verdana" w:cs="Times New Roman"/>
          <w:color w:val="000000"/>
          <w:sz w:val="18"/>
          <w:szCs w:val="18"/>
          <w:lang w:val="en-US" w:eastAsia="nl-BE"/>
        </w:rPr>
        <w:t xml:space="preserve"> </w:t>
      </w:r>
      <w:proofErr w:type="spellStart"/>
      <w:r w:rsidRPr="002A6BA4">
        <w:rPr>
          <w:rFonts w:ascii="Verdana" w:eastAsia="Times New Roman" w:hAnsi="Verdana" w:cs="Times New Roman"/>
          <w:color w:val="000000"/>
          <w:sz w:val="18"/>
          <w:szCs w:val="18"/>
          <w:lang w:val="en-US" w:eastAsia="nl-BE"/>
        </w:rPr>
        <w:t>Binani</w:t>
      </w:r>
      <w:proofErr w:type="spellEnd"/>
      <w:r w:rsidRPr="002A6BA4">
        <w:rPr>
          <w:rFonts w:ascii="Verdana" w:eastAsia="Times New Roman" w:hAnsi="Verdana" w:cs="Times New Roman"/>
          <w:color w:val="000000"/>
          <w:sz w:val="18"/>
          <w:szCs w:val="18"/>
          <w:lang w:val="en-US" w:eastAsia="nl-BE"/>
        </w:rPr>
        <w:t xml:space="preserve"> Group.</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8" w:history="1">
        <w:r w:rsidRPr="002A6BA4">
          <w:rPr>
            <w:rFonts w:ascii="Verdana" w:eastAsia="Times New Roman" w:hAnsi="Verdana" w:cs="Times New Roman"/>
            <w:color w:val="003580"/>
            <w:sz w:val="18"/>
            <w:szCs w:val="18"/>
            <w:lang w:val="en-US" w:eastAsia="nl-BE"/>
          </w:rPr>
          <w:t>Texas Instruments makes $6.5 billion acquisition of analog device and subsystems specialist National Semiconductor</w:t>
        </w:r>
      </w:hyperlink>
      <w:r w:rsidRPr="002A6BA4">
        <w:rPr>
          <w:rFonts w:ascii="Verdana" w:eastAsia="Times New Roman" w:hAnsi="Verdana" w:cs="Times New Roman"/>
          <w:color w:val="000000"/>
          <w:sz w:val="18"/>
          <w:szCs w:val="18"/>
          <w:lang w:val="en-US" w:eastAsia="nl-BE"/>
        </w:rPr>
        <w:br/>
        <w:t xml:space="preserve">Jones Day advised Texas Instruments Incorporated, a global analog and digital semiconductor IC </w:t>
      </w:r>
      <w:r w:rsidRPr="002A6BA4">
        <w:rPr>
          <w:rFonts w:ascii="Verdana" w:eastAsia="Times New Roman" w:hAnsi="Verdana" w:cs="Times New Roman"/>
          <w:color w:val="000000"/>
          <w:sz w:val="18"/>
          <w:szCs w:val="18"/>
          <w:lang w:val="en-US" w:eastAsia="nl-BE"/>
        </w:rPr>
        <w:lastRenderedPageBreak/>
        <w:t>design and manufacturing company, in connection with its $6.5 billion acquisition and related financing of National Semiconductor Corporation, a semiconductor manufacturer that specializes in analog devices and subsystems.</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19" w:history="1">
        <w:r w:rsidRPr="002A6BA4">
          <w:rPr>
            <w:rFonts w:ascii="Verdana" w:eastAsia="Times New Roman" w:hAnsi="Verdana" w:cs="Times New Roman"/>
            <w:color w:val="003580"/>
            <w:sz w:val="18"/>
            <w:szCs w:val="18"/>
            <w:lang w:val="en-US" w:eastAsia="nl-BE"/>
          </w:rPr>
          <w:t xml:space="preserve">Procter &amp; Gamble and </w:t>
        </w:r>
        <w:proofErr w:type="spellStart"/>
        <w:r w:rsidRPr="002A6BA4">
          <w:rPr>
            <w:rFonts w:ascii="Verdana" w:eastAsia="Times New Roman" w:hAnsi="Verdana" w:cs="Times New Roman"/>
            <w:color w:val="003580"/>
            <w:sz w:val="18"/>
            <w:szCs w:val="18"/>
            <w:lang w:val="en-US" w:eastAsia="nl-BE"/>
          </w:rPr>
          <w:t>Teva</w:t>
        </w:r>
        <w:proofErr w:type="spellEnd"/>
        <w:r w:rsidRPr="002A6BA4">
          <w:rPr>
            <w:rFonts w:ascii="Verdana" w:eastAsia="Times New Roman" w:hAnsi="Verdana" w:cs="Times New Roman"/>
            <w:color w:val="003580"/>
            <w:sz w:val="18"/>
            <w:szCs w:val="18"/>
            <w:lang w:val="en-US" w:eastAsia="nl-BE"/>
          </w:rPr>
          <w:t xml:space="preserve"> Pharmaceutical form consumer health care partnership</w:t>
        </w:r>
      </w:hyperlink>
      <w:r w:rsidRPr="002A6BA4">
        <w:rPr>
          <w:rFonts w:ascii="Verdana" w:eastAsia="Times New Roman" w:hAnsi="Verdana" w:cs="Times New Roman"/>
          <w:color w:val="000000"/>
          <w:sz w:val="18"/>
          <w:szCs w:val="18"/>
          <w:lang w:val="en-US" w:eastAsia="nl-BE"/>
        </w:rPr>
        <w:br/>
        <w:t xml:space="preserve">Jones Day advised The Procter &amp; Gamble Company in its agreement with </w:t>
      </w:r>
      <w:proofErr w:type="spellStart"/>
      <w:r w:rsidRPr="002A6BA4">
        <w:rPr>
          <w:rFonts w:ascii="Verdana" w:eastAsia="Times New Roman" w:hAnsi="Verdana" w:cs="Times New Roman"/>
          <w:color w:val="000000"/>
          <w:sz w:val="18"/>
          <w:szCs w:val="18"/>
          <w:lang w:val="en-US" w:eastAsia="nl-BE"/>
        </w:rPr>
        <w:t>Teva</w:t>
      </w:r>
      <w:proofErr w:type="spellEnd"/>
      <w:r w:rsidRPr="002A6BA4">
        <w:rPr>
          <w:rFonts w:ascii="Verdana" w:eastAsia="Times New Roman" w:hAnsi="Verdana" w:cs="Times New Roman"/>
          <w:color w:val="000000"/>
          <w:sz w:val="18"/>
          <w:szCs w:val="18"/>
          <w:lang w:val="en-US" w:eastAsia="nl-BE"/>
        </w:rPr>
        <w:t xml:space="preserve"> Pharmaceutical Industries to create a partnership in consumer health care by bringing together both companies' existing over the counter medicines and complementary capabilities to accelerate growth.</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20" w:history="1">
        <w:r w:rsidRPr="002A6BA4">
          <w:rPr>
            <w:rFonts w:ascii="Verdana" w:eastAsia="Times New Roman" w:hAnsi="Verdana" w:cs="Times New Roman"/>
            <w:color w:val="003580"/>
            <w:sz w:val="18"/>
            <w:szCs w:val="18"/>
            <w:lang w:val="en-US" w:eastAsia="nl-BE"/>
          </w:rPr>
          <w:t xml:space="preserve">Procter &amp; Gamble acquired </w:t>
        </w:r>
        <w:proofErr w:type="spellStart"/>
        <w:r w:rsidRPr="002A6BA4">
          <w:rPr>
            <w:rFonts w:ascii="Verdana" w:eastAsia="Times New Roman" w:hAnsi="Verdana" w:cs="Times New Roman"/>
            <w:color w:val="003580"/>
            <w:sz w:val="18"/>
            <w:szCs w:val="18"/>
            <w:lang w:val="en-US" w:eastAsia="nl-BE"/>
          </w:rPr>
          <w:t>Ambi</w:t>
        </w:r>
        <w:proofErr w:type="spellEnd"/>
        <w:r w:rsidRPr="002A6BA4">
          <w:rPr>
            <w:rFonts w:ascii="Verdana" w:eastAsia="Times New Roman" w:hAnsi="Verdana" w:cs="Times New Roman"/>
            <w:color w:val="003580"/>
            <w:sz w:val="18"/>
            <w:szCs w:val="18"/>
            <w:lang w:val="en-US" w:eastAsia="nl-BE"/>
          </w:rPr>
          <w:t xml:space="preserve"> </w:t>
        </w:r>
        <w:proofErr w:type="spellStart"/>
        <w:r w:rsidRPr="002A6BA4">
          <w:rPr>
            <w:rFonts w:ascii="Verdana" w:eastAsia="Times New Roman" w:hAnsi="Verdana" w:cs="Times New Roman"/>
            <w:color w:val="003580"/>
            <w:sz w:val="18"/>
            <w:szCs w:val="18"/>
            <w:lang w:val="en-US" w:eastAsia="nl-BE"/>
          </w:rPr>
          <w:t>Pur</w:t>
        </w:r>
        <w:proofErr w:type="spellEnd"/>
        <w:r w:rsidRPr="002A6BA4">
          <w:rPr>
            <w:rFonts w:ascii="Verdana" w:eastAsia="Times New Roman" w:hAnsi="Verdana" w:cs="Times New Roman"/>
            <w:color w:val="003580"/>
            <w:sz w:val="18"/>
            <w:szCs w:val="18"/>
            <w:lang w:val="en-US" w:eastAsia="nl-BE"/>
          </w:rPr>
          <w:t>, the air care business of Sara Lee, for $470 million</w:t>
        </w:r>
      </w:hyperlink>
      <w:r w:rsidRPr="002A6BA4">
        <w:rPr>
          <w:rFonts w:ascii="Verdana" w:eastAsia="Times New Roman" w:hAnsi="Verdana" w:cs="Times New Roman"/>
          <w:color w:val="000000"/>
          <w:sz w:val="18"/>
          <w:szCs w:val="18"/>
          <w:lang w:val="en-US" w:eastAsia="nl-BE"/>
        </w:rPr>
        <w:br/>
        <w:t xml:space="preserve">Jones Day advised The Procter &amp; Gamble Co. ("P&amp;G") in its purchase of Sara Lee's </w:t>
      </w:r>
      <w:proofErr w:type="spellStart"/>
      <w:r w:rsidRPr="002A6BA4">
        <w:rPr>
          <w:rFonts w:ascii="Verdana" w:eastAsia="Times New Roman" w:hAnsi="Verdana" w:cs="Times New Roman"/>
          <w:color w:val="000000"/>
          <w:sz w:val="18"/>
          <w:szCs w:val="18"/>
          <w:lang w:val="en-US" w:eastAsia="nl-BE"/>
        </w:rPr>
        <w:t>Ambi</w:t>
      </w:r>
      <w:proofErr w:type="spellEnd"/>
      <w:r w:rsidRPr="002A6BA4">
        <w:rPr>
          <w:rFonts w:ascii="Verdana" w:eastAsia="Times New Roman" w:hAnsi="Verdana" w:cs="Times New Roman"/>
          <w:color w:val="000000"/>
          <w:sz w:val="18"/>
          <w:szCs w:val="18"/>
          <w:lang w:val="en-US" w:eastAsia="nl-BE"/>
        </w:rPr>
        <w:t xml:space="preserve"> </w:t>
      </w:r>
      <w:proofErr w:type="spellStart"/>
      <w:r w:rsidRPr="002A6BA4">
        <w:rPr>
          <w:rFonts w:ascii="Verdana" w:eastAsia="Times New Roman" w:hAnsi="Verdana" w:cs="Times New Roman"/>
          <w:color w:val="000000"/>
          <w:sz w:val="18"/>
          <w:szCs w:val="18"/>
          <w:lang w:val="en-US" w:eastAsia="nl-BE"/>
        </w:rPr>
        <w:t>Pur</w:t>
      </w:r>
      <w:proofErr w:type="spellEnd"/>
      <w:r w:rsidRPr="002A6BA4">
        <w:rPr>
          <w:rFonts w:ascii="Verdana" w:eastAsia="Times New Roman" w:hAnsi="Verdana" w:cs="Times New Roman"/>
          <w:color w:val="000000"/>
          <w:sz w:val="18"/>
          <w:szCs w:val="18"/>
          <w:lang w:val="en-US" w:eastAsia="nl-BE"/>
        </w:rPr>
        <w:t xml:space="preserve"> Business for EU 320 million ($470 million).</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21" w:history="1">
        <w:r w:rsidRPr="002A6BA4">
          <w:rPr>
            <w:rFonts w:ascii="Verdana" w:eastAsia="Times New Roman" w:hAnsi="Verdana" w:cs="Times New Roman"/>
            <w:color w:val="003580"/>
            <w:sz w:val="18"/>
            <w:szCs w:val="18"/>
            <w:lang w:val="en-US" w:eastAsia="nl-BE"/>
          </w:rPr>
          <w:t xml:space="preserve">BASE obtains favorable decision in claim against </w:t>
        </w:r>
        <w:proofErr w:type="spellStart"/>
        <w:r w:rsidRPr="002A6BA4">
          <w:rPr>
            <w:rFonts w:ascii="Verdana" w:eastAsia="Times New Roman" w:hAnsi="Verdana" w:cs="Times New Roman"/>
            <w:color w:val="003580"/>
            <w:sz w:val="18"/>
            <w:szCs w:val="18"/>
            <w:lang w:val="en-US" w:eastAsia="nl-BE"/>
          </w:rPr>
          <w:t>Belgacom</w:t>
        </w:r>
        <w:proofErr w:type="spellEnd"/>
        <w:r w:rsidRPr="002A6BA4">
          <w:rPr>
            <w:rFonts w:ascii="Verdana" w:eastAsia="Times New Roman" w:hAnsi="Verdana" w:cs="Times New Roman"/>
            <w:color w:val="003580"/>
            <w:sz w:val="18"/>
            <w:szCs w:val="18"/>
            <w:lang w:val="en-US" w:eastAsia="nl-BE"/>
          </w:rPr>
          <w:t xml:space="preserve"> Mobile for abuse of dominant position</w:t>
        </w:r>
      </w:hyperlink>
      <w:r w:rsidRPr="002A6BA4">
        <w:rPr>
          <w:rFonts w:ascii="Verdana" w:eastAsia="Times New Roman" w:hAnsi="Verdana" w:cs="Times New Roman"/>
          <w:color w:val="000000"/>
          <w:sz w:val="18"/>
          <w:szCs w:val="18"/>
          <w:lang w:val="en-US" w:eastAsia="nl-BE"/>
        </w:rPr>
        <w:br/>
        <w:t xml:space="preserve">On behalf of Dutch-based telecommunications operator KPN and its subsidiary </w:t>
      </w:r>
      <w:proofErr w:type="gramStart"/>
      <w:r w:rsidRPr="002A6BA4">
        <w:rPr>
          <w:rFonts w:ascii="Verdana" w:eastAsia="Times New Roman" w:hAnsi="Verdana" w:cs="Times New Roman"/>
          <w:color w:val="000000"/>
          <w:sz w:val="18"/>
          <w:szCs w:val="18"/>
          <w:lang w:val="en-US" w:eastAsia="nl-BE"/>
        </w:rPr>
        <w:t>BASE,</w:t>
      </w:r>
      <w:proofErr w:type="gramEnd"/>
      <w:r w:rsidRPr="002A6BA4">
        <w:rPr>
          <w:rFonts w:ascii="Verdana" w:eastAsia="Times New Roman" w:hAnsi="Verdana" w:cs="Times New Roman"/>
          <w:color w:val="000000"/>
          <w:sz w:val="18"/>
          <w:szCs w:val="18"/>
          <w:lang w:val="en-US" w:eastAsia="nl-BE"/>
        </w:rPr>
        <w:t xml:space="preserve"> Jones Day challenged abuses by </w:t>
      </w:r>
      <w:proofErr w:type="spellStart"/>
      <w:r w:rsidRPr="002A6BA4">
        <w:rPr>
          <w:rFonts w:ascii="Verdana" w:eastAsia="Times New Roman" w:hAnsi="Verdana" w:cs="Times New Roman"/>
          <w:color w:val="000000"/>
          <w:sz w:val="18"/>
          <w:szCs w:val="18"/>
          <w:lang w:val="en-US" w:eastAsia="nl-BE"/>
        </w:rPr>
        <w:t>Belgacom</w:t>
      </w:r>
      <w:proofErr w:type="spellEnd"/>
      <w:r w:rsidRPr="002A6BA4">
        <w:rPr>
          <w:rFonts w:ascii="Verdana" w:eastAsia="Times New Roman" w:hAnsi="Verdana" w:cs="Times New Roman"/>
          <w:color w:val="000000"/>
          <w:sz w:val="18"/>
          <w:szCs w:val="18"/>
          <w:lang w:val="en-US" w:eastAsia="nl-BE"/>
        </w:rPr>
        <w:t xml:space="preserve"> Group of its dominant position, which had radically distorted the competitive environment in the Belgian telecommunications market.</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22" w:history="1">
        <w:r w:rsidRPr="002A6BA4">
          <w:rPr>
            <w:rFonts w:ascii="Verdana" w:eastAsia="Times New Roman" w:hAnsi="Verdana" w:cs="Times New Roman"/>
            <w:color w:val="003580"/>
            <w:sz w:val="18"/>
            <w:szCs w:val="18"/>
            <w:lang w:val="en-US" w:eastAsia="nl-BE"/>
          </w:rPr>
          <w:t>Procter &amp; Gamble sells European tissue and towel business</w:t>
        </w:r>
      </w:hyperlink>
      <w:r w:rsidRPr="002A6BA4">
        <w:rPr>
          <w:rFonts w:ascii="Verdana" w:eastAsia="Times New Roman" w:hAnsi="Verdana" w:cs="Times New Roman"/>
          <w:color w:val="000000"/>
          <w:sz w:val="18"/>
          <w:szCs w:val="18"/>
          <w:lang w:val="en-US" w:eastAsia="nl-BE"/>
        </w:rPr>
        <w:br/>
        <w:t xml:space="preserve">Jones Day advised The Procter &amp; Gamble Company in the €512 million (US$672 million) sale of its European tissue and towel business to </w:t>
      </w:r>
      <w:proofErr w:type="spellStart"/>
      <w:r w:rsidRPr="002A6BA4">
        <w:rPr>
          <w:rFonts w:ascii="Verdana" w:eastAsia="Times New Roman" w:hAnsi="Verdana" w:cs="Times New Roman"/>
          <w:color w:val="000000"/>
          <w:sz w:val="18"/>
          <w:szCs w:val="18"/>
          <w:lang w:val="en-US" w:eastAsia="nl-BE"/>
        </w:rPr>
        <w:t>Svenska</w:t>
      </w:r>
      <w:proofErr w:type="spellEnd"/>
      <w:r w:rsidRPr="002A6BA4">
        <w:rPr>
          <w:rFonts w:ascii="Verdana" w:eastAsia="Times New Roman" w:hAnsi="Verdana" w:cs="Times New Roman"/>
          <w:color w:val="000000"/>
          <w:sz w:val="18"/>
          <w:szCs w:val="18"/>
          <w:lang w:val="en-US" w:eastAsia="nl-BE"/>
        </w:rPr>
        <w:t xml:space="preserve"> </w:t>
      </w:r>
      <w:proofErr w:type="spellStart"/>
      <w:r w:rsidRPr="002A6BA4">
        <w:rPr>
          <w:rFonts w:ascii="Verdana" w:eastAsia="Times New Roman" w:hAnsi="Verdana" w:cs="Times New Roman"/>
          <w:color w:val="000000"/>
          <w:sz w:val="18"/>
          <w:szCs w:val="18"/>
          <w:lang w:val="en-US" w:eastAsia="nl-BE"/>
        </w:rPr>
        <w:t>Cellulosa</w:t>
      </w:r>
      <w:proofErr w:type="spellEnd"/>
      <w:r w:rsidRPr="002A6BA4">
        <w:rPr>
          <w:rFonts w:ascii="Verdana" w:eastAsia="Times New Roman" w:hAnsi="Verdana" w:cs="Times New Roman"/>
          <w:color w:val="000000"/>
          <w:sz w:val="18"/>
          <w:szCs w:val="18"/>
          <w:lang w:val="en-US" w:eastAsia="nl-BE"/>
        </w:rPr>
        <w:t xml:space="preserve"> AB.</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hyperlink r:id="rId23" w:history="1">
        <w:r w:rsidRPr="002A6BA4">
          <w:rPr>
            <w:rFonts w:ascii="Verdana" w:eastAsia="Times New Roman" w:hAnsi="Verdana" w:cs="Times New Roman"/>
            <w:color w:val="003580"/>
            <w:sz w:val="18"/>
            <w:szCs w:val="18"/>
            <w:lang w:val="en-US" w:eastAsia="nl-BE"/>
          </w:rPr>
          <w:t>Procter &amp; Gamble secures regulatory approvals worldwide for Gillette acquisition</w:t>
        </w:r>
      </w:hyperlink>
      <w:r w:rsidRPr="002A6BA4">
        <w:rPr>
          <w:rFonts w:ascii="Verdana" w:eastAsia="Times New Roman" w:hAnsi="Verdana" w:cs="Times New Roman"/>
          <w:color w:val="000000"/>
          <w:sz w:val="18"/>
          <w:szCs w:val="18"/>
          <w:lang w:val="en-US" w:eastAsia="nl-BE"/>
        </w:rPr>
        <w:br/>
        <w:t>Jones Day served as U.S., EU, and worldwide coordinating antitrust counsel for Procter &amp; Gamble in connection with the antitrust aspects of its $57 billion acquisition of The Gillette Company, P&amp;G's largest and most important deal ever.</w:t>
      </w:r>
    </w:p>
    <w:p w:rsidR="002A6BA4" w:rsidRPr="002A6BA4" w:rsidRDefault="002A6BA4" w:rsidP="002A6BA4">
      <w:pPr>
        <w:spacing w:line="270" w:lineRule="atLeast"/>
        <w:rPr>
          <w:rFonts w:ascii="Verdana" w:eastAsia="Times New Roman" w:hAnsi="Verdana" w:cs="Times New Roman"/>
          <w:color w:val="000000"/>
          <w:sz w:val="18"/>
          <w:szCs w:val="18"/>
          <w:lang w:val="en-US" w:eastAsia="nl-BE"/>
        </w:rPr>
      </w:pPr>
      <w:hyperlink r:id="rId24" w:history="1">
        <w:r w:rsidRPr="002A6BA4">
          <w:rPr>
            <w:rFonts w:ascii="Verdana" w:eastAsia="Times New Roman" w:hAnsi="Verdana" w:cs="Times New Roman"/>
            <w:color w:val="003580"/>
            <w:sz w:val="18"/>
            <w:szCs w:val="18"/>
            <w:lang w:val="en-US" w:eastAsia="nl-BE"/>
          </w:rPr>
          <w:t>BASE pursues litigation to annul license agreement for cell phone coverage in Brussels Region tunnels</w:t>
        </w:r>
      </w:hyperlink>
      <w:r w:rsidRPr="002A6BA4">
        <w:rPr>
          <w:rFonts w:ascii="Verdana" w:eastAsia="Times New Roman" w:hAnsi="Verdana" w:cs="Times New Roman"/>
          <w:color w:val="000000"/>
          <w:sz w:val="18"/>
          <w:szCs w:val="18"/>
          <w:lang w:val="en-US" w:eastAsia="nl-BE"/>
        </w:rPr>
        <w:br/>
        <w:t>Jones Day represented BASE N.V., the third-largest mobile telecommunications operator in Belgium, in an action before the Brussels Civil Court and obtained the annulment of a license agreement relating to cell phone coverage in the tunnels of the Brussels Region, plus the refund of the license and annual rental fees.</w:t>
      </w:r>
    </w:p>
    <w:p w:rsidR="00971BD0" w:rsidRDefault="00971BD0" w:rsidP="002A6BA4">
      <w:pPr>
        <w:rPr>
          <w:lang w:val="en-US"/>
        </w:rPr>
      </w:pPr>
    </w:p>
    <w:p w:rsidR="002A6BA4" w:rsidRPr="002A6BA4" w:rsidRDefault="002A6BA4" w:rsidP="002A6BA4">
      <w:pPr>
        <w:pBdr>
          <w:top w:val="dotted" w:sz="6" w:space="2" w:color="B6B6B6"/>
          <w:bottom w:val="dotted" w:sz="6" w:space="2" w:color="B6B6B6"/>
        </w:pBdr>
        <w:spacing w:before="150" w:after="45" w:line="210" w:lineRule="atLeast"/>
        <w:outlineLvl w:val="2"/>
        <w:rPr>
          <w:rFonts w:ascii="Verdana" w:eastAsia="Times New Roman" w:hAnsi="Verdana" w:cs="Times New Roman"/>
          <w:b/>
          <w:bCs/>
          <w:caps/>
          <w:color w:val="000000"/>
          <w:sz w:val="17"/>
          <w:szCs w:val="17"/>
          <w:lang w:eastAsia="nl-BE"/>
        </w:rPr>
      </w:pPr>
      <w:r w:rsidRPr="002A6BA4">
        <w:rPr>
          <w:rFonts w:ascii="Verdana" w:eastAsia="Times New Roman" w:hAnsi="Verdana" w:cs="Times New Roman"/>
          <w:b/>
          <w:bCs/>
          <w:caps/>
          <w:color w:val="000000"/>
          <w:sz w:val="17"/>
          <w:szCs w:val="17"/>
          <w:lang w:eastAsia="nl-BE"/>
        </w:rPr>
        <w:t>Publications</w:t>
      </w: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March 2016</w:t>
      </w:r>
      <w:r w:rsidRPr="002A6BA4">
        <w:rPr>
          <w:rFonts w:ascii="Verdana" w:eastAsia="Times New Roman" w:hAnsi="Verdana" w:cs="Times New Roman"/>
          <w:color w:val="000000"/>
          <w:sz w:val="18"/>
          <w:szCs w:val="18"/>
          <w:lang w:val="en-US" w:eastAsia="nl-BE"/>
        </w:rPr>
        <w:br/>
      </w:r>
      <w:hyperlink r:id="rId25" w:history="1">
        <w:r w:rsidRPr="002A6BA4">
          <w:rPr>
            <w:rFonts w:ascii="Verdana" w:eastAsia="Times New Roman" w:hAnsi="Verdana" w:cs="Times New Roman"/>
            <w:color w:val="003580"/>
            <w:sz w:val="18"/>
            <w:szCs w:val="18"/>
            <w:lang w:val="en-US" w:eastAsia="nl-BE"/>
          </w:rPr>
          <w:t xml:space="preserve">Antitrust Alert: Belgium Introduces New Leniency Guidelines on Competition Law Prosecutions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July 2014</w:t>
      </w:r>
      <w:r w:rsidRPr="002A6BA4">
        <w:rPr>
          <w:rFonts w:ascii="Verdana" w:eastAsia="Times New Roman" w:hAnsi="Verdana" w:cs="Times New Roman"/>
          <w:color w:val="000000"/>
          <w:sz w:val="18"/>
          <w:szCs w:val="18"/>
          <w:lang w:val="en-US" w:eastAsia="nl-BE"/>
        </w:rPr>
        <w:br/>
      </w:r>
      <w:hyperlink r:id="rId26" w:history="1">
        <w:r w:rsidRPr="002A6BA4">
          <w:rPr>
            <w:rFonts w:ascii="Verdana" w:eastAsia="Times New Roman" w:hAnsi="Verdana" w:cs="Times New Roman"/>
            <w:color w:val="003580"/>
            <w:sz w:val="18"/>
            <w:szCs w:val="18"/>
            <w:lang w:val="en-US" w:eastAsia="nl-BE"/>
          </w:rPr>
          <w:t xml:space="preserve">Antitrust Alert: EU Commission Adopts Revised Safe Harbor Rules for Minor Agreements and Provides Guidance on "By Object" Restrictions of Competition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December 2013</w:t>
      </w:r>
      <w:r w:rsidRPr="002A6BA4">
        <w:rPr>
          <w:rFonts w:ascii="Verdana" w:eastAsia="Times New Roman" w:hAnsi="Verdana" w:cs="Times New Roman"/>
          <w:color w:val="000000"/>
          <w:sz w:val="18"/>
          <w:szCs w:val="18"/>
          <w:lang w:val="en-US" w:eastAsia="nl-BE"/>
        </w:rPr>
        <w:br/>
      </w:r>
      <w:hyperlink r:id="rId27" w:history="1">
        <w:r w:rsidRPr="002A6BA4">
          <w:rPr>
            <w:rFonts w:ascii="Verdana" w:eastAsia="Times New Roman" w:hAnsi="Verdana" w:cs="Times New Roman"/>
            <w:color w:val="003580"/>
            <w:sz w:val="18"/>
            <w:szCs w:val="18"/>
            <w:lang w:val="en-US" w:eastAsia="nl-BE"/>
          </w:rPr>
          <w:t xml:space="preserve">Antitrust Alert: European Commission’s "Simplified" Merger Control Notification Procedures to Be Effective in 2014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lastRenderedPageBreak/>
        <w:t>June 2013</w:t>
      </w:r>
      <w:r w:rsidRPr="002A6BA4">
        <w:rPr>
          <w:rFonts w:ascii="Verdana" w:eastAsia="Times New Roman" w:hAnsi="Verdana" w:cs="Times New Roman"/>
          <w:color w:val="000000"/>
          <w:sz w:val="18"/>
          <w:szCs w:val="18"/>
          <w:lang w:val="en-US" w:eastAsia="nl-BE"/>
        </w:rPr>
        <w:br/>
      </w:r>
      <w:hyperlink r:id="rId28" w:history="1">
        <w:r w:rsidRPr="002A6BA4">
          <w:rPr>
            <w:rFonts w:ascii="Verdana" w:eastAsia="Times New Roman" w:hAnsi="Verdana" w:cs="Times New Roman"/>
            <w:color w:val="003580"/>
            <w:sz w:val="18"/>
            <w:szCs w:val="18"/>
            <w:lang w:val="en-US" w:eastAsia="nl-BE"/>
          </w:rPr>
          <w:t xml:space="preserve">Antitrust Alert: European Commission Targets Non-Controlling Minority Shareholdings and Case Referrals in New Consultation on Modifying EU Merger Regulation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June 2013</w:t>
      </w:r>
      <w:r w:rsidRPr="002A6BA4">
        <w:rPr>
          <w:rFonts w:ascii="Verdana" w:eastAsia="Times New Roman" w:hAnsi="Verdana" w:cs="Times New Roman"/>
          <w:color w:val="000000"/>
          <w:sz w:val="18"/>
          <w:szCs w:val="18"/>
          <w:lang w:val="en-US" w:eastAsia="nl-BE"/>
        </w:rPr>
        <w:br/>
      </w:r>
      <w:hyperlink r:id="rId29" w:history="1">
        <w:r w:rsidRPr="002A6BA4">
          <w:rPr>
            <w:rFonts w:ascii="Verdana" w:eastAsia="Times New Roman" w:hAnsi="Verdana" w:cs="Times New Roman"/>
            <w:color w:val="003580"/>
            <w:sz w:val="18"/>
            <w:szCs w:val="18"/>
            <w:lang w:val="en-US" w:eastAsia="nl-BE"/>
          </w:rPr>
          <w:t xml:space="preserve">Antitrust Alert: EU Commission Proposes New Measures to Foster Damages Litigation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May 2013</w:t>
      </w:r>
      <w:r w:rsidRPr="002A6BA4">
        <w:rPr>
          <w:rFonts w:ascii="Verdana" w:eastAsia="Times New Roman" w:hAnsi="Verdana" w:cs="Times New Roman"/>
          <w:color w:val="000000"/>
          <w:sz w:val="18"/>
          <w:szCs w:val="18"/>
          <w:lang w:val="en-US" w:eastAsia="nl-BE"/>
        </w:rPr>
        <w:br/>
      </w:r>
      <w:hyperlink r:id="rId30" w:history="1">
        <w:r w:rsidRPr="002A6BA4">
          <w:rPr>
            <w:rFonts w:ascii="Verdana" w:eastAsia="Times New Roman" w:hAnsi="Verdana" w:cs="Times New Roman"/>
            <w:color w:val="003580"/>
            <w:sz w:val="18"/>
            <w:szCs w:val="18"/>
            <w:lang w:val="en-US" w:eastAsia="nl-BE"/>
          </w:rPr>
          <w:t xml:space="preserve">Antitrust Alert: European Commission Consults on Proposals to Modify Merger Control Notification Procedures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May 2013</w:t>
      </w:r>
      <w:r w:rsidRPr="002A6BA4">
        <w:rPr>
          <w:rFonts w:ascii="Verdana" w:eastAsia="Times New Roman" w:hAnsi="Verdana" w:cs="Times New Roman"/>
          <w:color w:val="000000"/>
          <w:sz w:val="18"/>
          <w:szCs w:val="18"/>
          <w:lang w:val="en-US" w:eastAsia="nl-BE"/>
        </w:rPr>
        <w:br/>
      </w:r>
      <w:hyperlink r:id="rId31" w:history="1">
        <w:r w:rsidRPr="002A6BA4">
          <w:rPr>
            <w:rFonts w:ascii="Verdana" w:eastAsia="Times New Roman" w:hAnsi="Verdana" w:cs="Times New Roman"/>
            <w:color w:val="003580"/>
            <w:sz w:val="18"/>
            <w:szCs w:val="18"/>
            <w:lang w:val="en-US" w:eastAsia="nl-BE"/>
          </w:rPr>
          <w:t xml:space="preserve">Antitrust Alert: Belgium Enacts New Competition Law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April 2013</w:t>
      </w:r>
      <w:r w:rsidRPr="002A6BA4">
        <w:rPr>
          <w:rFonts w:ascii="Verdana" w:eastAsia="Times New Roman" w:hAnsi="Verdana" w:cs="Times New Roman"/>
          <w:color w:val="000000"/>
          <w:sz w:val="18"/>
          <w:szCs w:val="18"/>
          <w:lang w:val="en-US" w:eastAsia="nl-BE"/>
        </w:rPr>
        <w:br/>
      </w:r>
      <w:hyperlink r:id="rId32" w:history="1">
        <w:r w:rsidRPr="002A6BA4">
          <w:rPr>
            <w:rFonts w:ascii="Verdana" w:eastAsia="Times New Roman" w:hAnsi="Verdana" w:cs="Times New Roman"/>
            <w:color w:val="003580"/>
            <w:sz w:val="18"/>
            <w:szCs w:val="18"/>
            <w:lang w:val="en-US" w:eastAsia="nl-BE"/>
          </w:rPr>
          <w:t xml:space="preserve">Antitrust Alert: EU General Court Reverses European Commission in CISAC Music Rights Case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April 2013</w:t>
      </w:r>
      <w:r w:rsidRPr="002A6BA4">
        <w:rPr>
          <w:rFonts w:ascii="Verdana" w:eastAsia="Times New Roman" w:hAnsi="Verdana" w:cs="Times New Roman"/>
          <w:color w:val="000000"/>
          <w:sz w:val="18"/>
          <w:szCs w:val="18"/>
          <w:lang w:val="en-US" w:eastAsia="nl-BE"/>
        </w:rPr>
        <w:br/>
        <w:t xml:space="preserve">The Belgian Parliament enacts a new competition </w:t>
      </w:r>
      <w:proofErr w:type="spellStart"/>
      <w:r w:rsidRPr="002A6BA4">
        <w:rPr>
          <w:rFonts w:ascii="Verdana" w:eastAsia="Times New Roman" w:hAnsi="Verdana" w:cs="Times New Roman"/>
          <w:color w:val="000000"/>
          <w:sz w:val="18"/>
          <w:szCs w:val="18"/>
          <w:lang w:val="en-US" w:eastAsia="nl-BE"/>
        </w:rPr>
        <w:t>law,</w:t>
      </w:r>
      <w:r w:rsidRPr="002A6BA4">
        <w:rPr>
          <w:rFonts w:ascii="Verdana" w:eastAsia="Times New Roman" w:hAnsi="Verdana" w:cs="Times New Roman"/>
          <w:i/>
          <w:iCs/>
          <w:color w:val="000000"/>
          <w:sz w:val="18"/>
          <w:szCs w:val="18"/>
          <w:lang w:val="en-US" w:eastAsia="nl-BE"/>
        </w:rPr>
        <w:t>e</w:t>
      </w:r>
      <w:proofErr w:type="spellEnd"/>
      <w:r w:rsidRPr="002A6BA4">
        <w:rPr>
          <w:rFonts w:ascii="Verdana" w:eastAsia="Times New Roman" w:hAnsi="Verdana" w:cs="Times New Roman"/>
          <w:i/>
          <w:iCs/>
          <w:color w:val="000000"/>
          <w:sz w:val="18"/>
          <w:szCs w:val="18"/>
          <w:lang w:val="en-US" w:eastAsia="nl-BE"/>
        </w:rPr>
        <w:t>-Competitions</w:t>
      </w:r>
      <w:r w:rsidRPr="002A6BA4">
        <w:rPr>
          <w:rFonts w:ascii="Verdana" w:eastAsia="Times New Roman" w:hAnsi="Verdana" w:cs="Times New Roman"/>
          <w:color w:val="000000"/>
          <w:sz w:val="18"/>
          <w:szCs w:val="18"/>
          <w:lang w:val="en-US" w:eastAsia="nl-BE"/>
        </w:rPr>
        <w:t xml:space="preserve">, n°51813 </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November 2012</w:t>
      </w:r>
      <w:r w:rsidRPr="002A6BA4">
        <w:rPr>
          <w:rFonts w:ascii="Verdana" w:eastAsia="Times New Roman" w:hAnsi="Verdana" w:cs="Times New Roman"/>
          <w:color w:val="000000"/>
          <w:sz w:val="18"/>
          <w:szCs w:val="18"/>
          <w:lang w:val="en-US" w:eastAsia="nl-BE"/>
        </w:rPr>
        <w:br/>
      </w:r>
      <w:proofErr w:type="spellStart"/>
      <w:r w:rsidRPr="002A6BA4">
        <w:rPr>
          <w:rFonts w:ascii="Verdana" w:eastAsia="Times New Roman" w:hAnsi="Verdana" w:cs="Times New Roman"/>
          <w:color w:val="000000"/>
          <w:sz w:val="18"/>
          <w:szCs w:val="18"/>
          <w:lang w:val="en-US" w:eastAsia="nl-BE"/>
        </w:rPr>
        <w:t>Prenotification</w:t>
      </w:r>
      <w:proofErr w:type="spellEnd"/>
      <w:r w:rsidRPr="002A6BA4">
        <w:rPr>
          <w:rFonts w:ascii="Verdana" w:eastAsia="Times New Roman" w:hAnsi="Verdana" w:cs="Times New Roman"/>
          <w:color w:val="000000"/>
          <w:sz w:val="18"/>
          <w:szCs w:val="18"/>
          <w:lang w:val="en-US" w:eastAsia="nl-BE"/>
        </w:rPr>
        <w:t xml:space="preserve"> under the EU Merger Regulation, Concurrences N° 4-2012, n°49237 </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February 2012</w:t>
      </w:r>
      <w:r w:rsidRPr="002A6BA4">
        <w:rPr>
          <w:rFonts w:ascii="Verdana" w:eastAsia="Times New Roman" w:hAnsi="Verdana" w:cs="Times New Roman"/>
          <w:color w:val="000000"/>
          <w:sz w:val="18"/>
          <w:szCs w:val="18"/>
          <w:lang w:val="en-US" w:eastAsia="nl-BE"/>
        </w:rPr>
        <w:br/>
      </w:r>
      <w:hyperlink r:id="rId33" w:history="1">
        <w:r w:rsidRPr="002A6BA4">
          <w:rPr>
            <w:rFonts w:ascii="Verdana" w:eastAsia="Times New Roman" w:hAnsi="Verdana" w:cs="Times New Roman"/>
            <w:color w:val="003580"/>
            <w:sz w:val="18"/>
            <w:szCs w:val="18"/>
            <w:lang w:val="en-US" w:eastAsia="nl-BE"/>
          </w:rPr>
          <w:t xml:space="preserve">Antitrust Alert: U.S. Department of Justice and European Commission Close Antitrust Investigations Into High-Profile Patent Acquisitions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Winter 2011</w:t>
      </w:r>
      <w:r w:rsidRPr="002A6BA4">
        <w:rPr>
          <w:rFonts w:ascii="Verdana" w:eastAsia="Times New Roman" w:hAnsi="Verdana" w:cs="Times New Roman"/>
          <w:color w:val="000000"/>
          <w:sz w:val="18"/>
          <w:szCs w:val="18"/>
          <w:lang w:val="en-US" w:eastAsia="nl-BE"/>
        </w:rPr>
        <w:br/>
      </w:r>
      <w:hyperlink r:id="rId34" w:tgtFrame="_blank" w:history="1">
        <w:r w:rsidRPr="002A6BA4">
          <w:rPr>
            <w:rFonts w:ascii="Verdana" w:eastAsia="Times New Roman" w:hAnsi="Verdana" w:cs="Times New Roman"/>
            <w:color w:val="003580"/>
            <w:sz w:val="18"/>
            <w:szCs w:val="18"/>
            <w:lang w:val="en-US" w:eastAsia="nl-BE"/>
          </w:rPr>
          <w:t xml:space="preserve">Price Squeeze: The Implications of the CJ Judgments in Deutsche Telekom and TeliaSonera, Unilateral Conduct Committee, ABA Section of Antitrust Law - PDF Only </w:t>
        </w:r>
      </w:hyperlink>
      <w:r>
        <w:rPr>
          <w:rFonts w:ascii="Verdana" w:eastAsia="Times New Roman" w:hAnsi="Verdana" w:cs="Times New Roman"/>
          <w:noProof/>
          <w:color w:val="003580"/>
          <w:sz w:val="18"/>
          <w:szCs w:val="18"/>
          <w:lang w:eastAsia="nl-BE"/>
        </w:rPr>
        <w:drawing>
          <wp:inline distT="0" distB="0" distL="0" distR="0">
            <wp:extent cx="172085" cy="172085"/>
            <wp:effectExtent l="0" t="0" r="0" b="0"/>
            <wp:docPr id="2" name="Picture 2" descr="PDF">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March 2011</w:t>
      </w:r>
      <w:r w:rsidRPr="002A6BA4">
        <w:rPr>
          <w:rFonts w:ascii="Verdana" w:eastAsia="Times New Roman" w:hAnsi="Verdana" w:cs="Times New Roman"/>
          <w:color w:val="000000"/>
          <w:sz w:val="18"/>
          <w:szCs w:val="18"/>
          <w:lang w:val="en-US" w:eastAsia="nl-BE"/>
        </w:rPr>
        <w:br/>
      </w:r>
      <w:hyperlink r:id="rId36" w:history="1">
        <w:r w:rsidRPr="002A6BA4">
          <w:rPr>
            <w:rFonts w:ascii="Verdana" w:eastAsia="Times New Roman" w:hAnsi="Verdana" w:cs="Times New Roman"/>
            <w:color w:val="003580"/>
            <w:sz w:val="18"/>
            <w:szCs w:val="18"/>
            <w:lang w:val="en-US" w:eastAsia="nl-BE"/>
          </w:rPr>
          <w:t xml:space="preserve">Antitrust Alert: EU Court Restricts Member State Freedom to Impose "Must Carry" Obligations on Network Operators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February 2011</w:t>
      </w:r>
      <w:r w:rsidRPr="002A6BA4">
        <w:rPr>
          <w:rFonts w:ascii="Verdana" w:eastAsia="Times New Roman" w:hAnsi="Verdana" w:cs="Times New Roman"/>
          <w:color w:val="000000"/>
          <w:sz w:val="18"/>
          <w:szCs w:val="18"/>
          <w:lang w:val="en-US" w:eastAsia="nl-BE"/>
        </w:rPr>
        <w:br/>
      </w:r>
      <w:hyperlink r:id="rId37" w:history="1">
        <w:r w:rsidRPr="002A6BA4">
          <w:rPr>
            <w:rFonts w:ascii="Verdana" w:eastAsia="Times New Roman" w:hAnsi="Verdana" w:cs="Times New Roman"/>
            <w:color w:val="003580"/>
            <w:sz w:val="18"/>
            <w:szCs w:val="18"/>
            <w:lang w:val="en-US" w:eastAsia="nl-BE"/>
          </w:rPr>
          <w:t xml:space="preserve">Antitrust Alert: EU Court of Justice Provides Guidance on Abusive Margin Squeezes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October 2010</w:t>
      </w:r>
      <w:r w:rsidRPr="002A6BA4">
        <w:rPr>
          <w:rFonts w:ascii="Verdana" w:eastAsia="Times New Roman" w:hAnsi="Verdana" w:cs="Times New Roman"/>
          <w:color w:val="000000"/>
          <w:sz w:val="18"/>
          <w:szCs w:val="18"/>
          <w:lang w:val="en-US" w:eastAsia="nl-BE"/>
        </w:rPr>
        <w:br/>
      </w:r>
      <w:hyperlink r:id="rId38" w:history="1">
        <w:r w:rsidRPr="002A6BA4">
          <w:rPr>
            <w:rFonts w:ascii="Verdana" w:eastAsia="Times New Roman" w:hAnsi="Verdana" w:cs="Times New Roman"/>
            <w:color w:val="003580"/>
            <w:sz w:val="18"/>
            <w:szCs w:val="18"/>
            <w:lang w:val="en-US" w:eastAsia="nl-BE"/>
          </w:rPr>
          <w:t xml:space="preserve">Antitrust Alert: ECJ Affirms Judgment Against Deutsche Telecom in Margin Squeeze Case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lastRenderedPageBreak/>
        <w:t>August 2010</w:t>
      </w:r>
      <w:r w:rsidRPr="002A6BA4">
        <w:rPr>
          <w:rFonts w:ascii="Verdana" w:eastAsia="Times New Roman" w:hAnsi="Verdana" w:cs="Times New Roman"/>
          <w:color w:val="000000"/>
          <w:sz w:val="18"/>
          <w:szCs w:val="18"/>
          <w:lang w:val="en-US" w:eastAsia="nl-BE"/>
        </w:rPr>
        <w:br/>
      </w:r>
      <w:hyperlink r:id="rId39" w:history="1">
        <w:r w:rsidRPr="002A6BA4">
          <w:rPr>
            <w:rFonts w:ascii="Verdana" w:eastAsia="Times New Roman" w:hAnsi="Verdana" w:cs="Times New Roman"/>
            <w:color w:val="003580"/>
            <w:sz w:val="18"/>
            <w:szCs w:val="18"/>
            <w:lang w:val="en-US" w:eastAsia="nl-BE"/>
          </w:rPr>
          <w:t xml:space="preserve">EU court of Justice Affirms Retail Price Regulation, </w:t>
        </w:r>
        <w:r w:rsidRPr="002A6BA4">
          <w:rPr>
            <w:rFonts w:ascii="Verdana" w:eastAsia="Times New Roman" w:hAnsi="Verdana" w:cs="Times New Roman"/>
            <w:i/>
            <w:iCs/>
            <w:color w:val="003580"/>
            <w:sz w:val="18"/>
            <w:szCs w:val="18"/>
            <w:lang w:val="en-US" w:eastAsia="nl-BE"/>
          </w:rPr>
          <w:t>Icarus, The Newsletter of the ABA Antitrust Section</w:t>
        </w:r>
        <w:r w:rsidRPr="002A6BA4">
          <w:rPr>
            <w:rFonts w:ascii="Verdana" w:eastAsia="Times New Roman" w:hAnsi="Verdana" w:cs="Times New Roman"/>
            <w:color w:val="003580"/>
            <w:sz w:val="18"/>
            <w:szCs w:val="18"/>
            <w:lang w:val="en-US" w:eastAsia="nl-BE"/>
          </w:rPr>
          <w:t xml:space="preserve"> </w:t>
        </w:r>
      </w:hyperlink>
      <w:r>
        <w:rPr>
          <w:rFonts w:ascii="Verdana" w:eastAsia="Times New Roman" w:hAnsi="Verdana" w:cs="Times New Roman"/>
          <w:noProof/>
          <w:color w:val="003580"/>
          <w:sz w:val="18"/>
          <w:szCs w:val="18"/>
          <w:lang w:eastAsia="nl-BE"/>
        </w:rPr>
        <w:drawing>
          <wp:inline distT="0" distB="0" distL="0" distR="0">
            <wp:extent cx="172085" cy="172085"/>
            <wp:effectExtent l="0" t="0" r="0" b="0"/>
            <wp:docPr id="1" name="Picture 1" descr="PDF">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39"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April 2010</w:t>
      </w:r>
      <w:r w:rsidRPr="002A6BA4">
        <w:rPr>
          <w:rFonts w:ascii="Verdana" w:eastAsia="Times New Roman" w:hAnsi="Verdana" w:cs="Times New Roman"/>
          <w:color w:val="000000"/>
          <w:sz w:val="18"/>
          <w:szCs w:val="18"/>
          <w:lang w:val="en-US" w:eastAsia="nl-BE"/>
        </w:rPr>
        <w:br/>
      </w:r>
      <w:hyperlink r:id="rId40" w:history="1">
        <w:r w:rsidRPr="002A6BA4">
          <w:rPr>
            <w:rFonts w:ascii="Verdana" w:eastAsia="Times New Roman" w:hAnsi="Verdana" w:cs="Times New Roman"/>
            <w:color w:val="003580"/>
            <w:sz w:val="18"/>
            <w:szCs w:val="18"/>
            <w:lang w:val="en-US" w:eastAsia="nl-BE"/>
          </w:rPr>
          <w:t xml:space="preserve">Antitrust Alert: ECJ Advocate General Seeks to Affirm Judgment in Margin Squeeze Case </w:t>
        </w:r>
      </w:hyperlink>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numPr>
          <w:ilvl w:val="0"/>
          <w:numId w:val="1"/>
        </w:numPr>
        <w:spacing w:after="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April 2009</w:t>
      </w:r>
      <w:r w:rsidRPr="002A6BA4">
        <w:rPr>
          <w:rFonts w:ascii="Verdana" w:eastAsia="Times New Roman" w:hAnsi="Verdana" w:cs="Times New Roman"/>
          <w:color w:val="000000"/>
          <w:sz w:val="18"/>
          <w:szCs w:val="18"/>
          <w:lang w:val="en-US" w:eastAsia="nl-BE"/>
        </w:rPr>
        <w:br/>
        <w:t xml:space="preserve">Price Squeeze Abuse in the EU Telecommunications Sector: A Reasonably or Equally Efficient Test?, </w:t>
      </w:r>
      <w:r w:rsidRPr="002A6BA4">
        <w:rPr>
          <w:rFonts w:ascii="Verdana" w:eastAsia="Times New Roman" w:hAnsi="Verdana" w:cs="Times New Roman"/>
          <w:i/>
          <w:iCs/>
          <w:color w:val="000000"/>
          <w:sz w:val="18"/>
          <w:szCs w:val="18"/>
          <w:lang w:val="en-US" w:eastAsia="nl-BE"/>
        </w:rPr>
        <w:t>GCP Magazine</w:t>
      </w:r>
      <w:r w:rsidRPr="002A6BA4">
        <w:rPr>
          <w:rFonts w:ascii="Verdana" w:eastAsia="Times New Roman" w:hAnsi="Verdana" w:cs="Times New Roman"/>
          <w:color w:val="000000"/>
          <w:sz w:val="18"/>
          <w:szCs w:val="18"/>
          <w:lang w:val="en-US" w:eastAsia="nl-BE"/>
        </w:rPr>
        <w:t xml:space="preserve"> </w:t>
      </w:r>
    </w:p>
    <w:p w:rsidR="002A6BA4" w:rsidRPr="002A6BA4" w:rsidRDefault="002A6BA4" w:rsidP="002A6BA4">
      <w:pPr>
        <w:spacing w:after="240" w:line="270" w:lineRule="atLeast"/>
        <w:rPr>
          <w:rFonts w:ascii="Verdana" w:eastAsia="Times New Roman" w:hAnsi="Verdana" w:cs="Times New Roman"/>
          <w:color w:val="000000"/>
          <w:sz w:val="18"/>
          <w:szCs w:val="18"/>
          <w:lang w:val="en-US" w:eastAsia="nl-BE"/>
        </w:rPr>
      </w:pPr>
    </w:p>
    <w:p w:rsidR="002A6BA4" w:rsidRPr="002A6BA4" w:rsidRDefault="002A6BA4" w:rsidP="002A6BA4">
      <w:pPr>
        <w:pBdr>
          <w:top w:val="dotted" w:sz="6" w:space="2" w:color="B6B6B6"/>
          <w:bottom w:val="dotted" w:sz="6" w:space="2" w:color="B6B6B6"/>
        </w:pBdr>
        <w:spacing w:before="150" w:after="45" w:line="210" w:lineRule="atLeast"/>
        <w:outlineLvl w:val="2"/>
        <w:rPr>
          <w:rFonts w:ascii="Verdana" w:eastAsia="Times New Roman" w:hAnsi="Verdana" w:cs="Times New Roman"/>
          <w:b/>
          <w:bCs/>
          <w:caps/>
          <w:color w:val="000000"/>
          <w:sz w:val="17"/>
          <w:szCs w:val="17"/>
          <w:lang w:eastAsia="nl-BE"/>
        </w:rPr>
      </w:pPr>
      <w:r w:rsidRPr="002A6BA4">
        <w:rPr>
          <w:rFonts w:ascii="Verdana" w:eastAsia="Times New Roman" w:hAnsi="Verdana" w:cs="Times New Roman"/>
          <w:b/>
          <w:bCs/>
          <w:caps/>
          <w:color w:val="000000"/>
          <w:sz w:val="17"/>
          <w:szCs w:val="17"/>
          <w:lang w:eastAsia="nl-BE"/>
        </w:rPr>
        <w:t>Speaking Engagements</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October 15, 2014</w:t>
      </w:r>
      <w:r w:rsidRPr="002A6BA4">
        <w:rPr>
          <w:rFonts w:ascii="Verdana" w:eastAsia="Times New Roman" w:hAnsi="Verdana" w:cs="Times New Roman"/>
          <w:color w:val="000000"/>
          <w:sz w:val="18"/>
          <w:szCs w:val="18"/>
          <w:lang w:val="en-US" w:eastAsia="nl-BE"/>
        </w:rPr>
        <w:br/>
        <w:t xml:space="preserve">Competition Law Challenges in the Retail Sector, IBC Legal Conference </w:t>
      </w:r>
      <w:proofErr w:type="spellStart"/>
      <w:r w:rsidRPr="002A6BA4">
        <w:rPr>
          <w:rFonts w:ascii="Verdana" w:eastAsia="Times New Roman" w:hAnsi="Verdana" w:cs="Times New Roman"/>
          <w:color w:val="B6B6B6"/>
          <w:sz w:val="18"/>
          <w:szCs w:val="18"/>
          <w:lang w:val="en-US" w:eastAsia="nl-BE"/>
        </w:rPr>
        <w:t>Brussles</w:t>
      </w:r>
      <w:proofErr w:type="spellEnd"/>
      <w:r w:rsidRPr="002A6BA4">
        <w:rPr>
          <w:rFonts w:ascii="Verdana" w:eastAsia="Times New Roman" w:hAnsi="Verdana" w:cs="Times New Roman"/>
          <w:color w:val="B6B6B6"/>
          <w:sz w:val="18"/>
          <w:szCs w:val="18"/>
          <w:lang w:val="en-US" w:eastAsia="nl-BE"/>
        </w:rPr>
        <w:t xml:space="preserve">, Belgium  </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October 9, 2013</w:t>
      </w:r>
      <w:r w:rsidRPr="002A6BA4">
        <w:rPr>
          <w:rFonts w:ascii="Verdana" w:eastAsia="Times New Roman" w:hAnsi="Verdana" w:cs="Times New Roman"/>
          <w:color w:val="000000"/>
          <w:sz w:val="18"/>
          <w:szCs w:val="18"/>
          <w:lang w:val="en-US" w:eastAsia="nl-BE"/>
        </w:rPr>
        <w:br/>
        <w:t xml:space="preserve">Competition Law Challenges in the Retail Sector, IBC Legal Conference </w:t>
      </w:r>
      <w:r w:rsidRPr="002A6BA4">
        <w:rPr>
          <w:rFonts w:ascii="Verdana" w:eastAsia="Times New Roman" w:hAnsi="Verdana" w:cs="Times New Roman"/>
          <w:color w:val="B6B6B6"/>
          <w:sz w:val="18"/>
          <w:szCs w:val="18"/>
          <w:lang w:val="en-US" w:eastAsia="nl-BE"/>
        </w:rPr>
        <w:t xml:space="preserve">Brussels, Belgium  </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eastAsia="nl-BE"/>
        </w:rPr>
      </w:pPr>
      <w:r w:rsidRPr="002A6BA4">
        <w:rPr>
          <w:rFonts w:ascii="Verdana" w:eastAsia="Times New Roman" w:hAnsi="Verdana" w:cs="Times New Roman"/>
          <w:b/>
          <w:bCs/>
          <w:color w:val="000000"/>
          <w:sz w:val="17"/>
          <w:szCs w:val="17"/>
          <w:lang w:val="en-US" w:eastAsia="nl-BE"/>
        </w:rPr>
        <w:t>September 24, 2013</w:t>
      </w:r>
      <w:r w:rsidRPr="002A6BA4">
        <w:rPr>
          <w:rFonts w:ascii="Verdana" w:eastAsia="Times New Roman" w:hAnsi="Verdana" w:cs="Times New Roman"/>
          <w:color w:val="000000"/>
          <w:sz w:val="18"/>
          <w:szCs w:val="18"/>
          <w:lang w:val="en-US" w:eastAsia="nl-BE"/>
        </w:rPr>
        <w:br/>
      </w:r>
      <w:proofErr w:type="gramStart"/>
      <w:r w:rsidRPr="002A6BA4">
        <w:rPr>
          <w:rFonts w:ascii="Verdana" w:eastAsia="Times New Roman" w:hAnsi="Verdana" w:cs="Times New Roman"/>
          <w:color w:val="000000"/>
          <w:sz w:val="18"/>
          <w:szCs w:val="18"/>
          <w:lang w:val="en-US" w:eastAsia="nl-BE"/>
        </w:rPr>
        <w:t>A</w:t>
      </w:r>
      <w:proofErr w:type="gramEnd"/>
      <w:r w:rsidRPr="002A6BA4">
        <w:rPr>
          <w:rFonts w:ascii="Verdana" w:eastAsia="Times New Roman" w:hAnsi="Verdana" w:cs="Times New Roman"/>
          <w:color w:val="000000"/>
          <w:sz w:val="18"/>
          <w:szCs w:val="18"/>
          <w:lang w:val="en-US" w:eastAsia="nl-BE"/>
        </w:rPr>
        <w:t xml:space="preserve"> New Belgian Competition Authority: What Impact for my Company? </w:t>
      </w:r>
      <w:r w:rsidRPr="002A6BA4">
        <w:rPr>
          <w:rFonts w:ascii="Verdana" w:eastAsia="Times New Roman" w:hAnsi="Verdana" w:cs="Times New Roman"/>
          <w:color w:val="B6B6B6"/>
          <w:sz w:val="18"/>
          <w:szCs w:val="18"/>
          <w:lang w:eastAsia="nl-BE"/>
        </w:rPr>
        <w:t xml:space="preserve">Brussels, Belgium  </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December 14, 2011</w:t>
      </w:r>
      <w:r w:rsidRPr="002A6BA4">
        <w:rPr>
          <w:rFonts w:ascii="Verdana" w:eastAsia="Times New Roman" w:hAnsi="Verdana" w:cs="Times New Roman"/>
          <w:color w:val="000000"/>
          <w:sz w:val="18"/>
          <w:szCs w:val="18"/>
          <w:lang w:val="en-US" w:eastAsia="nl-BE"/>
        </w:rPr>
        <w:br/>
      </w:r>
      <w:hyperlink r:id="rId41" w:history="1">
        <w:r w:rsidRPr="002A6BA4">
          <w:rPr>
            <w:rFonts w:ascii="Verdana" w:eastAsia="Times New Roman" w:hAnsi="Verdana" w:cs="Times New Roman"/>
            <w:color w:val="003580"/>
            <w:sz w:val="18"/>
            <w:szCs w:val="18"/>
            <w:lang w:val="en-US" w:eastAsia="nl-BE"/>
          </w:rPr>
          <w:t xml:space="preserve">Recent Legal Developments in China </w:t>
        </w:r>
      </w:hyperlink>
      <w:r w:rsidRPr="002A6BA4">
        <w:rPr>
          <w:rFonts w:ascii="Verdana" w:eastAsia="Times New Roman" w:hAnsi="Verdana" w:cs="Times New Roman"/>
          <w:color w:val="B6B6B6"/>
          <w:sz w:val="18"/>
          <w:szCs w:val="18"/>
          <w:lang w:val="en-US" w:eastAsia="nl-BE"/>
        </w:rPr>
        <w:t xml:space="preserve">Brussels, Belgium  </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April 28, 2011</w:t>
      </w:r>
      <w:r w:rsidRPr="002A6BA4">
        <w:rPr>
          <w:rFonts w:ascii="Verdana" w:eastAsia="Times New Roman" w:hAnsi="Verdana" w:cs="Times New Roman"/>
          <w:color w:val="000000"/>
          <w:sz w:val="18"/>
          <w:szCs w:val="18"/>
          <w:lang w:val="en-US" w:eastAsia="nl-BE"/>
        </w:rPr>
        <w:br/>
        <w:t xml:space="preserve">EU Private Damage Claims: Growing Pains and Opportunities, ABA Antitrust Section teleseminar </w:t>
      </w:r>
      <w:r w:rsidRPr="002A6BA4">
        <w:rPr>
          <w:rFonts w:ascii="Verdana" w:eastAsia="Times New Roman" w:hAnsi="Verdana" w:cs="Times New Roman"/>
          <w:color w:val="B6B6B6"/>
          <w:sz w:val="18"/>
          <w:szCs w:val="18"/>
          <w:lang w:val="en-US" w:eastAsia="nl-BE"/>
        </w:rPr>
        <w:t xml:space="preserve">Webinar  </w:t>
      </w:r>
    </w:p>
    <w:p w:rsidR="002A6BA4" w:rsidRPr="002A6BA4" w:rsidRDefault="002A6BA4" w:rsidP="002A6BA4">
      <w:pPr>
        <w:numPr>
          <w:ilvl w:val="0"/>
          <w:numId w:val="2"/>
        </w:numPr>
        <w:spacing w:after="240" w:line="270" w:lineRule="atLeast"/>
        <w:ind w:left="270" w:firstLine="0"/>
        <w:rPr>
          <w:rFonts w:ascii="Verdana" w:eastAsia="Times New Roman" w:hAnsi="Verdana" w:cs="Times New Roman"/>
          <w:color w:val="000000"/>
          <w:sz w:val="18"/>
          <w:szCs w:val="18"/>
          <w:lang w:val="en-US" w:eastAsia="nl-BE"/>
        </w:rPr>
      </w:pPr>
      <w:r w:rsidRPr="002A6BA4">
        <w:rPr>
          <w:rFonts w:ascii="Verdana" w:eastAsia="Times New Roman" w:hAnsi="Verdana" w:cs="Times New Roman"/>
          <w:b/>
          <w:bCs/>
          <w:color w:val="000000"/>
          <w:sz w:val="17"/>
          <w:szCs w:val="17"/>
          <w:lang w:val="en-US" w:eastAsia="nl-BE"/>
        </w:rPr>
        <w:t> </w:t>
      </w:r>
      <w:r w:rsidRPr="002A6BA4">
        <w:rPr>
          <w:rFonts w:ascii="Verdana" w:eastAsia="Times New Roman" w:hAnsi="Verdana" w:cs="Times New Roman"/>
          <w:color w:val="000000"/>
          <w:sz w:val="18"/>
          <w:szCs w:val="18"/>
          <w:lang w:val="en-US" w:eastAsia="nl-BE"/>
        </w:rPr>
        <w:t xml:space="preserve">Guest lecturer at Sciences Po </w:t>
      </w:r>
      <w:r w:rsidRPr="002A6BA4">
        <w:rPr>
          <w:rFonts w:ascii="Verdana" w:eastAsia="Times New Roman" w:hAnsi="Verdana" w:cs="Times New Roman"/>
          <w:color w:val="B6B6B6"/>
          <w:sz w:val="18"/>
          <w:szCs w:val="18"/>
          <w:lang w:val="en-US" w:eastAsia="nl-BE"/>
        </w:rPr>
        <w:t xml:space="preserve">Paris, France  </w:t>
      </w:r>
    </w:p>
    <w:p w:rsidR="002A6BA4" w:rsidRPr="002A6BA4" w:rsidRDefault="002A6BA4" w:rsidP="002A6BA4">
      <w:pPr>
        <w:spacing w:after="0" w:line="270" w:lineRule="atLeast"/>
        <w:rPr>
          <w:rFonts w:ascii="Verdana" w:eastAsia="Times New Roman" w:hAnsi="Verdana" w:cs="Times New Roman"/>
          <w:color w:val="000000"/>
          <w:sz w:val="18"/>
          <w:szCs w:val="18"/>
          <w:lang w:val="en-US" w:eastAsia="nl-BE"/>
        </w:rPr>
      </w:pPr>
    </w:p>
    <w:p w:rsidR="002A6BA4" w:rsidRPr="002A6BA4" w:rsidRDefault="002A6BA4" w:rsidP="002A6BA4">
      <w:pPr>
        <w:rPr>
          <w:lang w:val="en-US"/>
        </w:rPr>
      </w:pPr>
    </w:p>
    <w:sectPr w:rsidR="002A6BA4" w:rsidRPr="002A6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009"/>
    <w:multiLevelType w:val="multilevel"/>
    <w:tmpl w:val="B5D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9C53AC"/>
    <w:multiLevelType w:val="multilevel"/>
    <w:tmpl w:val="4A0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AC5450"/>
    <w:multiLevelType w:val="multilevel"/>
    <w:tmpl w:val="70C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674C2"/>
    <w:multiLevelType w:val="multilevel"/>
    <w:tmpl w:val="FFE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BD70B9"/>
    <w:multiLevelType w:val="multilevel"/>
    <w:tmpl w:val="6B74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B90832"/>
    <w:multiLevelType w:val="multilevel"/>
    <w:tmpl w:val="1EC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20"/>
    <w:rsid w:val="002A6BA4"/>
    <w:rsid w:val="00971BD0"/>
    <w:rsid w:val="00A749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BA4"/>
    <w:pPr>
      <w:spacing w:after="240"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2A6BA4"/>
    <w:rPr>
      <w:i/>
      <w:iCs/>
    </w:rPr>
  </w:style>
  <w:style w:type="paragraph" w:customStyle="1" w:styleId="bioexpitem">
    <w:name w:val="bioexpitem"/>
    <w:basedOn w:val="Normal"/>
    <w:rsid w:val="002A6BA4"/>
    <w:pPr>
      <w:spacing w:after="240" w:line="240" w:lineRule="auto"/>
    </w:pPr>
    <w:rPr>
      <w:rFonts w:ascii="Times New Roman" w:eastAsia="Times New Roman" w:hAnsi="Times New Roman" w:cs="Times New Roman"/>
      <w:sz w:val="24"/>
      <w:szCs w:val="24"/>
      <w:lang w:eastAsia="nl-BE"/>
    </w:rPr>
  </w:style>
  <w:style w:type="character" w:customStyle="1" w:styleId="bioexpheadline">
    <w:name w:val="bioexpheadline"/>
    <w:basedOn w:val="DefaultParagraphFont"/>
    <w:rsid w:val="002A6BA4"/>
  </w:style>
  <w:style w:type="character" w:customStyle="1" w:styleId="bioexpabstract">
    <w:name w:val="bioexpabstract"/>
    <w:basedOn w:val="DefaultParagraphFont"/>
    <w:rsid w:val="002A6BA4"/>
  </w:style>
  <w:style w:type="character" w:styleId="Hyperlink">
    <w:name w:val="Hyperlink"/>
    <w:basedOn w:val="DefaultParagraphFont"/>
    <w:uiPriority w:val="99"/>
    <w:semiHidden/>
    <w:unhideWhenUsed/>
    <w:rsid w:val="002A6BA4"/>
    <w:rPr>
      <w:strike w:val="0"/>
      <w:dstrike w:val="0"/>
      <w:color w:val="003580"/>
      <w:u w:val="none"/>
      <w:effect w:val="none"/>
    </w:rPr>
  </w:style>
  <w:style w:type="character" w:customStyle="1" w:styleId="bold3">
    <w:name w:val="bold3"/>
    <w:basedOn w:val="DefaultParagraphFont"/>
    <w:rsid w:val="002A6BA4"/>
    <w:rPr>
      <w:b/>
      <w:bCs/>
      <w:sz w:val="17"/>
      <w:szCs w:val="17"/>
    </w:rPr>
  </w:style>
  <w:style w:type="character" w:customStyle="1" w:styleId="locationgray1">
    <w:name w:val="locationgray1"/>
    <w:basedOn w:val="DefaultParagraphFont"/>
    <w:rsid w:val="002A6BA4"/>
    <w:rPr>
      <w:vanish w:val="0"/>
      <w:webHidden w:val="0"/>
      <w:color w:val="B6B6B6"/>
      <w:specVanish w:val="0"/>
    </w:rPr>
  </w:style>
  <w:style w:type="paragraph" w:styleId="BalloonText">
    <w:name w:val="Balloon Text"/>
    <w:basedOn w:val="Normal"/>
    <w:link w:val="BalloonTextChar"/>
    <w:uiPriority w:val="99"/>
    <w:semiHidden/>
    <w:unhideWhenUsed/>
    <w:rsid w:val="002A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BA4"/>
    <w:pPr>
      <w:spacing w:after="240"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2A6BA4"/>
    <w:rPr>
      <w:i/>
      <w:iCs/>
    </w:rPr>
  </w:style>
  <w:style w:type="paragraph" w:customStyle="1" w:styleId="bioexpitem">
    <w:name w:val="bioexpitem"/>
    <w:basedOn w:val="Normal"/>
    <w:rsid w:val="002A6BA4"/>
    <w:pPr>
      <w:spacing w:after="240" w:line="240" w:lineRule="auto"/>
    </w:pPr>
    <w:rPr>
      <w:rFonts w:ascii="Times New Roman" w:eastAsia="Times New Roman" w:hAnsi="Times New Roman" w:cs="Times New Roman"/>
      <w:sz w:val="24"/>
      <w:szCs w:val="24"/>
      <w:lang w:eastAsia="nl-BE"/>
    </w:rPr>
  </w:style>
  <w:style w:type="character" w:customStyle="1" w:styleId="bioexpheadline">
    <w:name w:val="bioexpheadline"/>
    <w:basedOn w:val="DefaultParagraphFont"/>
    <w:rsid w:val="002A6BA4"/>
  </w:style>
  <w:style w:type="character" w:customStyle="1" w:styleId="bioexpabstract">
    <w:name w:val="bioexpabstract"/>
    <w:basedOn w:val="DefaultParagraphFont"/>
    <w:rsid w:val="002A6BA4"/>
  </w:style>
  <w:style w:type="character" w:styleId="Hyperlink">
    <w:name w:val="Hyperlink"/>
    <w:basedOn w:val="DefaultParagraphFont"/>
    <w:uiPriority w:val="99"/>
    <w:semiHidden/>
    <w:unhideWhenUsed/>
    <w:rsid w:val="002A6BA4"/>
    <w:rPr>
      <w:strike w:val="0"/>
      <w:dstrike w:val="0"/>
      <w:color w:val="003580"/>
      <w:u w:val="none"/>
      <w:effect w:val="none"/>
    </w:rPr>
  </w:style>
  <w:style w:type="character" w:customStyle="1" w:styleId="bold3">
    <w:name w:val="bold3"/>
    <w:basedOn w:val="DefaultParagraphFont"/>
    <w:rsid w:val="002A6BA4"/>
    <w:rPr>
      <w:b/>
      <w:bCs/>
      <w:sz w:val="17"/>
      <w:szCs w:val="17"/>
    </w:rPr>
  </w:style>
  <w:style w:type="character" w:customStyle="1" w:styleId="locationgray1">
    <w:name w:val="locationgray1"/>
    <w:basedOn w:val="DefaultParagraphFont"/>
    <w:rsid w:val="002A6BA4"/>
    <w:rPr>
      <w:vanish w:val="0"/>
      <w:webHidden w:val="0"/>
      <w:color w:val="B6B6B6"/>
      <w:specVanish w:val="0"/>
    </w:rPr>
  </w:style>
  <w:style w:type="paragraph" w:styleId="BalloonText">
    <w:name w:val="Balloon Text"/>
    <w:basedOn w:val="Normal"/>
    <w:link w:val="BalloonTextChar"/>
    <w:uiPriority w:val="99"/>
    <w:semiHidden/>
    <w:unhideWhenUsed/>
    <w:rsid w:val="002A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8071">
      <w:bodyDiv w:val="1"/>
      <w:marLeft w:val="0"/>
      <w:marRight w:val="0"/>
      <w:marTop w:val="0"/>
      <w:marBottom w:val="0"/>
      <w:divBdr>
        <w:top w:val="none" w:sz="0" w:space="0" w:color="auto"/>
        <w:left w:val="none" w:sz="0" w:space="0" w:color="auto"/>
        <w:bottom w:val="none" w:sz="0" w:space="0" w:color="auto"/>
        <w:right w:val="none" w:sz="0" w:space="0" w:color="auto"/>
      </w:divBdr>
      <w:divsChild>
        <w:div w:id="907688788">
          <w:marLeft w:val="0"/>
          <w:marRight w:val="0"/>
          <w:marTop w:val="0"/>
          <w:marBottom w:val="0"/>
          <w:divBdr>
            <w:top w:val="none" w:sz="0" w:space="0" w:color="auto"/>
            <w:left w:val="none" w:sz="0" w:space="0" w:color="auto"/>
            <w:bottom w:val="none" w:sz="0" w:space="0" w:color="auto"/>
            <w:right w:val="none" w:sz="0" w:space="0" w:color="auto"/>
          </w:divBdr>
          <w:divsChild>
            <w:div w:id="1686440288">
              <w:marLeft w:val="0"/>
              <w:marRight w:val="0"/>
              <w:marTop w:val="0"/>
              <w:marBottom w:val="0"/>
              <w:divBdr>
                <w:top w:val="none" w:sz="0" w:space="0" w:color="auto"/>
                <w:left w:val="none" w:sz="0" w:space="0" w:color="auto"/>
                <w:bottom w:val="none" w:sz="0" w:space="0" w:color="auto"/>
                <w:right w:val="none" w:sz="0" w:space="0" w:color="auto"/>
              </w:divBdr>
              <w:divsChild>
                <w:div w:id="1277103029">
                  <w:marLeft w:val="150"/>
                  <w:marRight w:val="150"/>
                  <w:marTop w:val="0"/>
                  <w:marBottom w:val="0"/>
                  <w:divBdr>
                    <w:top w:val="none" w:sz="0" w:space="0" w:color="auto"/>
                    <w:left w:val="single" w:sz="6" w:space="3" w:color="C5C5C5"/>
                    <w:bottom w:val="single" w:sz="6" w:space="0" w:color="C5C5C5"/>
                    <w:right w:val="single" w:sz="6" w:space="0" w:color="C5C5C5"/>
                  </w:divBdr>
                  <w:divsChild>
                    <w:div w:id="1095126467">
                      <w:marLeft w:val="12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55695154">
      <w:bodyDiv w:val="1"/>
      <w:marLeft w:val="0"/>
      <w:marRight w:val="0"/>
      <w:marTop w:val="0"/>
      <w:marBottom w:val="0"/>
      <w:divBdr>
        <w:top w:val="none" w:sz="0" w:space="0" w:color="auto"/>
        <w:left w:val="none" w:sz="0" w:space="0" w:color="auto"/>
        <w:bottom w:val="none" w:sz="0" w:space="0" w:color="auto"/>
        <w:right w:val="none" w:sz="0" w:space="0" w:color="auto"/>
      </w:divBdr>
      <w:divsChild>
        <w:div w:id="1454669370">
          <w:marLeft w:val="0"/>
          <w:marRight w:val="0"/>
          <w:marTop w:val="0"/>
          <w:marBottom w:val="0"/>
          <w:divBdr>
            <w:top w:val="none" w:sz="0" w:space="0" w:color="auto"/>
            <w:left w:val="none" w:sz="0" w:space="0" w:color="auto"/>
            <w:bottom w:val="none" w:sz="0" w:space="0" w:color="auto"/>
            <w:right w:val="none" w:sz="0" w:space="0" w:color="auto"/>
          </w:divBdr>
          <w:divsChild>
            <w:div w:id="678389733">
              <w:marLeft w:val="0"/>
              <w:marRight w:val="0"/>
              <w:marTop w:val="0"/>
              <w:marBottom w:val="0"/>
              <w:divBdr>
                <w:top w:val="none" w:sz="0" w:space="0" w:color="auto"/>
                <w:left w:val="none" w:sz="0" w:space="0" w:color="auto"/>
                <w:bottom w:val="none" w:sz="0" w:space="0" w:color="auto"/>
                <w:right w:val="none" w:sz="0" w:space="0" w:color="auto"/>
              </w:divBdr>
              <w:divsChild>
                <w:div w:id="1396124537">
                  <w:marLeft w:val="60"/>
                  <w:marRight w:val="0"/>
                  <w:marTop w:val="0"/>
                  <w:marBottom w:val="0"/>
                  <w:divBdr>
                    <w:top w:val="none" w:sz="0" w:space="0" w:color="auto"/>
                    <w:left w:val="none" w:sz="0" w:space="0" w:color="auto"/>
                    <w:bottom w:val="none" w:sz="0" w:space="0" w:color="auto"/>
                    <w:right w:val="none" w:sz="0" w:space="0" w:color="auto"/>
                  </w:divBdr>
                  <w:divsChild>
                    <w:div w:id="1798572539">
                      <w:marLeft w:val="0"/>
                      <w:marRight w:val="0"/>
                      <w:marTop w:val="0"/>
                      <w:marBottom w:val="0"/>
                      <w:divBdr>
                        <w:top w:val="none" w:sz="0" w:space="0" w:color="auto"/>
                        <w:left w:val="none" w:sz="0" w:space="0" w:color="auto"/>
                        <w:bottom w:val="none" w:sz="0" w:space="0" w:color="auto"/>
                        <w:right w:val="none" w:sz="0" w:space="0" w:color="auto"/>
                      </w:divBdr>
                      <w:divsChild>
                        <w:div w:id="2115903159">
                          <w:marLeft w:val="0"/>
                          <w:marRight w:val="0"/>
                          <w:marTop w:val="0"/>
                          <w:marBottom w:val="0"/>
                          <w:divBdr>
                            <w:top w:val="none" w:sz="0" w:space="0" w:color="auto"/>
                            <w:left w:val="none" w:sz="0" w:space="0" w:color="auto"/>
                            <w:bottom w:val="none" w:sz="0" w:space="0" w:color="auto"/>
                            <w:right w:val="none" w:sz="0" w:space="0" w:color="auto"/>
                          </w:divBdr>
                          <w:divsChild>
                            <w:div w:id="723531609">
                              <w:marLeft w:val="0"/>
                              <w:marRight w:val="0"/>
                              <w:marTop w:val="0"/>
                              <w:marBottom w:val="150"/>
                              <w:divBdr>
                                <w:top w:val="none" w:sz="0" w:space="0" w:color="auto"/>
                                <w:left w:val="none" w:sz="0" w:space="0" w:color="auto"/>
                                <w:bottom w:val="none" w:sz="0" w:space="0" w:color="auto"/>
                                <w:right w:val="none" w:sz="0" w:space="0" w:color="auto"/>
                              </w:divBdr>
                            </w:div>
                            <w:div w:id="1972513499">
                              <w:marLeft w:val="0"/>
                              <w:marRight w:val="0"/>
                              <w:marTop w:val="60"/>
                              <w:marBottom w:val="0"/>
                              <w:divBdr>
                                <w:top w:val="none" w:sz="0" w:space="0" w:color="auto"/>
                                <w:left w:val="none" w:sz="0" w:space="0" w:color="auto"/>
                                <w:bottom w:val="none" w:sz="0" w:space="0" w:color="auto"/>
                                <w:right w:val="none" w:sz="0" w:space="0" w:color="auto"/>
                              </w:divBdr>
                            </w:div>
                            <w:div w:id="388069300">
                              <w:marLeft w:val="0"/>
                              <w:marRight w:val="0"/>
                              <w:marTop w:val="0"/>
                              <w:marBottom w:val="0"/>
                              <w:divBdr>
                                <w:top w:val="none" w:sz="0" w:space="0" w:color="auto"/>
                                <w:left w:val="none" w:sz="0" w:space="0" w:color="auto"/>
                                <w:bottom w:val="none" w:sz="0" w:space="0" w:color="auto"/>
                                <w:right w:val="none" w:sz="0" w:space="0" w:color="auto"/>
                              </w:divBdr>
                            </w:div>
                            <w:div w:id="1889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6914">
      <w:bodyDiv w:val="1"/>
      <w:marLeft w:val="0"/>
      <w:marRight w:val="0"/>
      <w:marTop w:val="0"/>
      <w:marBottom w:val="0"/>
      <w:divBdr>
        <w:top w:val="none" w:sz="0" w:space="0" w:color="auto"/>
        <w:left w:val="none" w:sz="0" w:space="0" w:color="auto"/>
        <w:bottom w:val="none" w:sz="0" w:space="0" w:color="auto"/>
        <w:right w:val="none" w:sz="0" w:space="0" w:color="auto"/>
      </w:divBdr>
      <w:divsChild>
        <w:div w:id="1554850486">
          <w:marLeft w:val="0"/>
          <w:marRight w:val="0"/>
          <w:marTop w:val="0"/>
          <w:marBottom w:val="0"/>
          <w:divBdr>
            <w:top w:val="none" w:sz="0" w:space="0" w:color="auto"/>
            <w:left w:val="none" w:sz="0" w:space="0" w:color="auto"/>
            <w:bottom w:val="none" w:sz="0" w:space="0" w:color="auto"/>
            <w:right w:val="none" w:sz="0" w:space="0" w:color="auto"/>
          </w:divBdr>
          <w:divsChild>
            <w:div w:id="1474247593">
              <w:marLeft w:val="0"/>
              <w:marRight w:val="0"/>
              <w:marTop w:val="0"/>
              <w:marBottom w:val="0"/>
              <w:divBdr>
                <w:top w:val="none" w:sz="0" w:space="0" w:color="auto"/>
                <w:left w:val="none" w:sz="0" w:space="0" w:color="auto"/>
                <w:bottom w:val="none" w:sz="0" w:space="0" w:color="auto"/>
                <w:right w:val="none" w:sz="0" w:space="0" w:color="auto"/>
              </w:divBdr>
              <w:divsChild>
                <w:div w:id="139612853">
                  <w:marLeft w:val="150"/>
                  <w:marRight w:val="150"/>
                  <w:marTop w:val="0"/>
                  <w:marBottom w:val="0"/>
                  <w:divBdr>
                    <w:top w:val="none" w:sz="0" w:space="0" w:color="auto"/>
                    <w:left w:val="single" w:sz="6" w:space="3" w:color="C5C5C5"/>
                    <w:bottom w:val="single" w:sz="6" w:space="0" w:color="C5C5C5"/>
                    <w:right w:val="single" w:sz="6" w:space="0" w:color="C5C5C5"/>
                  </w:divBdr>
                  <w:divsChild>
                    <w:div w:id="525558744">
                      <w:marLeft w:val="12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6882783">
      <w:bodyDiv w:val="1"/>
      <w:marLeft w:val="0"/>
      <w:marRight w:val="0"/>
      <w:marTop w:val="0"/>
      <w:marBottom w:val="0"/>
      <w:divBdr>
        <w:top w:val="none" w:sz="0" w:space="0" w:color="auto"/>
        <w:left w:val="none" w:sz="0" w:space="0" w:color="auto"/>
        <w:bottom w:val="none" w:sz="0" w:space="0" w:color="auto"/>
        <w:right w:val="none" w:sz="0" w:space="0" w:color="auto"/>
      </w:divBdr>
      <w:divsChild>
        <w:div w:id="1126192987">
          <w:marLeft w:val="0"/>
          <w:marRight w:val="0"/>
          <w:marTop w:val="0"/>
          <w:marBottom w:val="0"/>
          <w:divBdr>
            <w:top w:val="none" w:sz="0" w:space="0" w:color="auto"/>
            <w:left w:val="none" w:sz="0" w:space="0" w:color="auto"/>
            <w:bottom w:val="none" w:sz="0" w:space="0" w:color="auto"/>
            <w:right w:val="none" w:sz="0" w:space="0" w:color="auto"/>
          </w:divBdr>
          <w:divsChild>
            <w:div w:id="672998691">
              <w:marLeft w:val="0"/>
              <w:marRight w:val="0"/>
              <w:marTop w:val="0"/>
              <w:marBottom w:val="0"/>
              <w:divBdr>
                <w:top w:val="none" w:sz="0" w:space="0" w:color="auto"/>
                <w:left w:val="none" w:sz="0" w:space="0" w:color="auto"/>
                <w:bottom w:val="none" w:sz="0" w:space="0" w:color="auto"/>
                <w:right w:val="none" w:sz="0" w:space="0" w:color="auto"/>
              </w:divBdr>
              <w:divsChild>
                <w:div w:id="1950039642">
                  <w:marLeft w:val="150"/>
                  <w:marRight w:val="150"/>
                  <w:marTop w:val="0"/>
                  <w:marBottom w:val="0"/>
                  <w:divBdr>
                    <w:top w:val="none" w:sz="0" w:space="0" w:color="auto"/>
                    <w:left w:val="single" w:sz="6" w:space="3" w:color="C5C5C5"/>
                    <w:bottom w:val="single" w:sz="6" w:space="0" w:color="C5C5C5"/>
                    <w:right w:val="single" w:sz="6" w:space="0" w:color="C5C5C5"/>
                  </w:divBdr>
                  <w:divsChild>
                    <w:div w:id="82456172">
                      <w:marLeft w:val="120"/>
                      <w:marRight w:val="0"/>
                      <w:marTop w:val="0"/>
                      <w:marBottom w:val="300"/>
                      <w:divBdr>
                        <w:top w:val="none" w:sz="0" w:space="0" w:color="auto"/>
                        <w:left w:val="none" w:sz="0" w:space="0" w:color="auto"/>
                        <w:bottom w:val="none" w:sz="0" w:space="0" w:color="auto"/>
                        <w:right w:val="none" w:sz="0" w:space="0" w:color="auto"/>
                      </w:divBdr>
                      <w:divsChild>
                        <w:div w:id="1308974607">
                          <w:marLeft w:val="0"/>
                          <w:marRight w:val="0"/>
                          <w:marTop w:val="0"/>
                          <w:marBottom w:val="0"/>
                          <w:divBdr>
                            <w:top w:val="none" w:sz="0" w:space="0" w:color="auto"/>
                            <w:left w:val="none" w:sz="0" w:space="0" w:color="auto"/>
                            <w:bottom w:val="none" w:sz="0" w:space="0" w:color="auto"/>
                            <w:right w:val="none" w:sz="0" w:space="0" w:color="auto"/>
                          </w:divBdr>
                        </w:div>
                      </w:divsChild>
                    </w:div>
                    <w:div w:id="1106660752">
                      <w:marLeft w:val="120"/>
                      <w:marRight w:val="0"/>
                      <w:marTop w:val="0"/>
                      <w:marBottom w:val="300"/>
                      <w:divBdr>
                        <w:top w:val="none" w:sz="0" w:space="0" w:color="auto"/>
                        <w:left w:val="none" w:sz="0" w:space="0" w:color="auto"/>
                        <w:bottom w:val="none" w:sz="0" w:space="0" w:color="auto"/>
                        <w:right w:val="none" w:sz="0" w:space="0" w:color="auto"/>
                      </w:divBdr>
                      <w:divsChild>
                        <w:div w:id="144396463">
                          <w:marLeft w:val="75"/>
                          <w:marRight w:val="75"/>
                          <w:marTop w:val="75"/>
                          <w:marBottom w:val="75"/>
                          <w:divBdr>
                            <w:top w:val="none" w:sz="0" w:space="0" w:color="auto"/>
                            <w:left w:val="none" w:sz="0" w:space="0" w:color="auto"/>
                            <w:bottom w:val="none" w:sz="0" w:space="0" w:color="auto"/>
                            <w:right w:val="none" w:sz="0" w:space="0" w:color="auto"/>
                          </w:divBdr>
                        </w:div>
                        <w:div w:id="1526285752">
                          <w:marLeft w:val="0"/>
                          <w:marRight w:val="0"/>
                          <w:marTop w:val="0"/>
                          <w:marBottom w:val="0"/>
                          <w:divBdr>
                            <w:top w:val="none" w:sz="0" w:space="0" w:color="auto"/>
                            <w:left w:val="none" w:sz="0" w:space="0" w:color="auto"/>
                            <w:bottom w:val="none" w:sz="0" w:space="0" w:color="auto"/>
                            <w:right w:val="none" w:sz="0" w:space="0" w:color="auto"/>
                          </w:divBdr>
                        </w:div>
                        <w:div w:id="967124216">
                          <w:marLeft w:val="0"/>
                          <w:marRight w:val="0"/>
                          <w:marTop w:val="0"/>
                          <w:marBottom w:val="0"/>
                          <w:divBdr>
                            <w:top w:val="none" w:sz="0" w:space="0" w:color="auto"/>
                            <w:left w:val="none" w:sz="0" w:space="0" w:color="auto"/>
                            <w:bottom w:val="none" w:sz="0" w:space="0" w:color="auto"/>
                            <w:right w:val="none" w:sz="0" w:space="0" w:color="auto"/>
                          </w:divBdr>
                        </w:div>
                        <w:div w:id="1503231733">
                          <w:marLeft w:val="0"/>
                          <w:marRight w:val="0"/>
                          <w:marTop w:val="0"/>
                          <w:marBottom w:val="0"/>
                          <w:divBdr>
                            <w:top w:val="none" w:sz="0" w:space="0" w:color="auto"/>
                            <w:left w:val="none" w:sz="0" w:space="0" w:color="auto"/>
                            <w:bottom w:val="none" w:sz="0" w:space="0" w:color="auto"/>
                            <w:right w:val="none" w:sz="0" w:space="0" w:color="auto"/>
                          </w:divBdr>
                        </w:div>
                        <w:div w:id="740178966">
                          <w:marLeft w:val="0"/>
                          <w:marRight w:val="0"/>
                          <w:marTop w:val="0"/>
                          <w:marBottom w:val="0"/>
                          <w:divBdr>
                            <w:top w:val="none" w:sz="0" w:space="0" w:color="auto"/>
                            <w:left w:val="none" w:sz="0" w:space="0" w:color="auto"/>
                            <w:bottom w:val="none" w:sz="0" w:space="0" w:color="auto"/>
                            <w:right w:val="none" w:sz="0" w:space="0" w:color="auto"/>
                          </w:divBdr>
                        </w:div>
                        <w:div w:id="573246530">
                          <w:marLeft w:val="0"/>
                          <w:marRight w:val="0"/>
                          <w:marTop w:val="0"/>
                          <w:marBottom w:val="0"/>
                          <w:divBdr>
                            <w:top w:val="none" w:sz="0" w:space="0" w:color="auto"/>
                            <w:left w:val="none" w:sz="0" w:space="0" w:color="auto"/>
                            <w:bottom w:val="none" w:sz="0" w:space="0" w:color="auto"/>
                            <w:right w:val="none" w:sz="0" w:space="0" w:color="auto"/>
                          </w:divBdr>
                        </w:div>
                      </w:divsChild>
                    </w:div>
                    <w:div w:id="1507014588">
                      <w:marLeft w:val="120"/>
                      <w:marRight w:val="0"/>
                      <w:marTop w:val="0"/>
                      <w:marBottom w:val="300"/>
                      <w:divBdr>
                        <w:top w:val="none" w:sz="0" w:space="0" w:color="auto"/>
                        <w:left w:val="none" w:sz="0" w:space="0" w:color="auto"/>
                        <w:bottom w:val="none" w:sz="0" w:space="0" w:color="auto"/>
                        <w:right w:val="none" w:sz="0" w:space="0" w:color="auto"/>
                      </w:divBdr>
                      <w:divsChild>
                        <w:div w:id="467281490">
                          <w:marLeft w:val="75"/>
                          <w:marRight w:val="75"/>
                          <w:marTop w:val="75"/>
                          <w:marBottom w:val="75"/>
                          <w:divBdr>
                            <w:top w:val="none" w:sz="0" w:space="0" w:color="auto"/>
                            <w:left w:val="none" w:sz="0" w:space="0" w:color="auto"/>
                            <w:bottom w:val="none" w:sz="0" w:space="0" w:color="auto"/>
                            <w:right w:val="none" w:sz="0" w:space="0" w:color="auto"/>
                          </w:divBdr>
                        </w:div>
                        <w:div w:id="745231051">
                          <w:marLeft w:val="0"/>
                          <w:marRight w:val="0"/>
                          <w:marTop w:val="0"/>
                          <w:marBottom w:val="0"/>
                          <w:divBdr>
                            <w:top w:val="none" w:sz="0" w:space="0" w:color="auto"/>
                            <w:left w:val="none" w:sz="0" w:space="0" w:color="auto"/>
                            <w:bottom w:val="none" w:sz="0" w:space="0" w:color="auto"/>
                            <w:right w:val="none" w:sz="0" w:space="0" w:color="auto"/>
                          </w:divBdr>
                        </w:div>
                      </w:divsChild>
                    </w:div>
                    <w:div w:id="1198010580">
                      <w:marLeft w:val="120"/>
                      <w:marRight w:val="0"/>
                      <w:marTop w:val="0"/>
                      <w:marBottom w:val="300"/>
                      <w:divBdr>
                        <w:top w:val="none" w:sz="0" w:space="0" w:color="auto"/>
                        <w:left w:val="none" w:sz="0" w:space="0" w:color="auto"/>
                        <w:bottom w:val="none" w:sz="0" w:space="0" w:color="auto"/>
                        <w:right w:val="none" w:sz="0" w:space="0" w:color="auto"/>
                      </w:divBdr>
                      <w:divsChild>
                        <w:div w:id="1188175946">
                          <w:marLeft w:val="75"/>
                          <w:marRight w:val="75"/>
                          <w:marTop w:val="75"/>
                          <w:marBottom w:val="75"/>
                          <w:divBdr>
                            <w:top w:val="none" w:sz="0" w:space="0" w:color="auto"/>
                            <w:left w:val="none" w:sz="0" w:space="0" w:color="auto"/>
                            <w:bottom w:val="none" w:sz="0" w:space="0" w:color="auto"/>
                            <w:right w:val="none" w:sz="0" w:space="0" w:color="auto"/>
                          </w:divBdr>
                        </w:div>
                        <w:div w:id="1265723770">
                          <w:marLeft w:val="0"/>
                          <w:marRight w:val="0"/>
                          <w:marTop w:val="0"/>
                          <w:marBottom w:val="0"/>
                          <w:divBdr>
                            <w:top w:val="none" w:sz="0" w:space="0" w:color="auto"/>
                            <w:left w:val="none" w:sz="0" w:space="0" w:color="auto"/>
                            <w:bottom w:val="none" w:sz="0" w:space="0" w:color="auto"/>
                            <w:right w:val="none" w:sz="0" w:space="0" w:color="auto"/>
                          </w:divBdr>
                        </w:div>
                        <w:div w:id="388500853">
                          <w:marLeft w:val="0"/>
                          <w:marRight w:val="0"/>
                          <w:marTop w:val="0"/>
                          <w:marBottom w:val="0"/>
                          <w:divBdr>
                            <w:top w:val="none" w:sz="0" w:space="0" w:color="auto"/>
                            <w:left w:val="none" w:sz="0" w:space="0" w:color="auto"/>
                            <w:bottom w:val="none" w:sz="0" w:space="0" w:color="auto"/>
                            <w:right w:val="none" w:sz="0" w:space="0" w:color="auto"/>
                          </w:divBdr>
                        </w:div>
                        <w:div w:id="1537618255">
                          <w:marLeft w:val="0"/>
                          <w:marRight w:val="0"/>
                          <w:marTop w:val="0"/>
                          <w:marBottom w:val="0"/>
                          <w:divBdr>
                            <w:top w:val="none" w:sz="0" w:space="0" w:color="auto"/>
                            <w:left w:val="none" w:sz="0" w:space="0" w:color="auto"/>
                            <w:bottom w:val="none" w:sz="0" w:space="0" w:color="auto"/>
                            <w:right w:val="none" w:sz="0" w:space="0" w:color="auto"/>
                          </w:divBdr>
                        </w:div>
                        <w:div w:id="82067344">
                          <w:marLeft w:val="0"/>
                          <w:marRight w:val="0"/>
                          <w:marTop w:val="0"/>
                          <w:marBottom w:val="0"/>
                          <w:divBdr>
                            <w:top w:val="none" w:sz="0" w:space="0" w:color="auto"/>
                            <w:left w:val="none" w:sz="0" w:space="0" w:color="auto"/>
                            <w:bottom w:val="none" w:sz="0" w:space="0" w:color="auto"/>
                            <w:right w:val="none" w:sz="0" w:space="0" w:color="auto"/>
                          </w:divBdr>
                        </w:div>
                        <w:div w:id="31733565">
                          <w:marLeft w:val="0"/>
                          <w:marRight w:val="0"/>
                          <w:marTop w:val="0"/>
                          <w:marBottom w:val="0"/>
                          <w:divBdr>
                            <w:top w:val="none" w:sz="0" w:space="0" w:color="auto"/>
                            <w:left w:val="none" w:sz="0" w:space="0" w:color="auto"/>
                            <w:bottom w:val="none" w:sz="0" w:space="0" w:color="auto"/>
                            <w:right w:val="none" w:sz="0" w:space="0" w:color="auto"/>
                          </w:divBdr>
                        </w:div>
                      </w:divsChild>
                    </w:div>
                    <w:div w:id="824971271">
                      <w:marLeft w:val="120"/>
                      <w:marRight w:val="120"/>
                      <w:marTop w:val="0"/>
                      <w:marBottom w:val="0"/>
                      <w:divBdr>
                        <w:top w:val="none" w:sz="0" w:space="0" w:color="auto"/>
                        <w:left w:val="none" w:sz="0" w:space="0" w:color="auto"/>
                        <w:bottom w:val="none" w:sz="0" w:space="0" w:color="auto"/>
                        <w:right w:val="none" w:sz="0" w:space="0" w:color="auto"/>
                      </w:divBdr>
                      <w:divsChild>
                        <w:div w:id="939139473">
                          <w:marLeft w:val="0"/>
                          <w:marRight w:val="0"/>
                          <w:marTop w:val="0"/>
                          <w:marBottom w:val="0"/>
                          <w:divBdr>
                            <w:top w:val="none" w:sz="0" w:space="0" w:color="auto"/>
                            <w:left w:val="none" w:sz="0" w:space="0" w:color="auto"/>
                            <w:bottom w:val="none" w:sz="0" w:space="0" w:color="auto"/>
                            <w:right w:val="none" w:sz="0" w:space="0" w:color="auto"/>
                          </w:divBdr>
                        </w:div>
                        <w:div w:id="786772496">
                          <w:marLeft w:val="0"/>
                          <w:marRight w:val="0"/>
                          <w:marTop w:val="0"/>
                          <w:marBottom w:val="0"/>
                          <w:divBdr>
                            <w:top w:val="none" w:sz="0" w:space="0" w:color="auto"/>
                            <w:left w:val="none" w:sz="0" w:space="0" w:color="auto"/>
                            <w:bottom w:val="none" w:sz="0" w:space="0" w:color="auto"/>
                            <w:right w:val="none" w:sz="0" w:space="0" w:color="auto"/>
                          </w:divBdr>
                          <w:divsChild>
                            <w:div w:id="1002586271">
                              <w:marLeft w:val="0"/>
                              <w:marRight w:val="0"/>
                              <w:marTop w:val="0"/>
                              <w:marBottom w:val="0"/>
                              <w:divBdr>
                                <w:top w:val="none" w:sz="0" w:space="0" w:color="auto"/>
                                <w:left w:val="none" w:sz="0" w:space="0" w:color="auto"/>
                                <w:bottom w:val="none" w:sz="0" w:space="0" w:color="auto"/>
                                <w:right w:val="none" w:sz="0" w:space="0" w:color="auto"/>
                              </w:divBdr>
                            </w:div>
                          </w:divsChild>
                        </w:div>
                        <w:div w:id="604729220">
                          <w:marLeft w:val="0"/>
                          <w:marRight w:val="0"/>
                          <w:marTop w:val="0"/>
                          <w:marBottom w:val="0"/>
                          <w:divBdr>
                            <w:top w:val="none" w:sz="0" w:space="0" w:color="auto"/>
                            <w:left w:val="none" w:sz="0" w:space="0" w:color="auto"/>
                            <w:bottom w:val="none" w:sz="0" w:space="0" w:color="auto"/>
                            <w:right w:val="none" w:sz="0" w:space="0" w:color="auto"/>
                          </w:divBdr>
                        </w:div>
                        <w:div w:id="1724864192">
                          <w:marLeft w:val="0"/>
                          <w:marRight w:val="0"/>
                          <w:marTop w:val="0"/>
                          <w:marBottom w:val="0"/>
                          <w:divBdr>
                            <w:top w:val="none" w:sz="0" w:space="0" w:color="auto"/>
                            <w:left w:val="none" w:sz="0" w:space="0" w:color="auto"/>
                            <w:bottom w:val="none" w:sz="0" w:space="0" w:color="auto"/>
                            <w:right w:val="none" w:sz="0" w:space="0" w:color="auto"/>
                          </w:divBdr>
                          <w:divsChild>
                            <w:div w:id="934365721">
                              <w:marLeft w:val="75"/>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esday.com/experiencepractices/ExperienceDetail.aspx?experienceid=31176" TargetMode="External"/><Relationship Id="rId13" Type="http://schemas.openxmlformats.org/officeDocument/2006/relationships/hyperlink" Target="http://www.jonesday.com/experiencepractices/ExperienceDetail.aspx?experienceid=29091" TargetMode="External"/><Relationship Id="rId18" Type="http://schemas.openxmlformats.org/officeDocument/2006/relationships/hyperlink" Target="http://www.jonesday.com/experiencepractices/ExperienceDetail.aspx?experienceid=26857" TargetMode="External"/><Relationship Id="rId26" Type="http://schemas.openxmlformats.org/officeDocument/2006/relationships/hyperlink" Target="http://www.jonesday.com/Antitrust-Alert-EU-Commission-adopts-revised-safe-harbor-rules-for-minor-agreements-and-provides-guidance-on-by-object-restrictions-of-competition-07-03-2014" TargetMode="External"/><Relationship Id="rId39" Type="http://schemas.openxmlformats.org/officeDocument/2006/relationships/hyperlink" Target="http://www.jonesday.com/files/Publication/c494e64f-32a6-411c-aea1-5b5817d65d7d/Presentation/PublicationAttachment/a69677b4-c9fa-4316-87a3-5ddee972d19f/Article%20Serge%20Clerckx%202010.PDF" TargetMode="External"/><Relationship Id="rId3" Type="http://schemas.microsoft.com/office/2007/relationships/stylesWithEffects" Target="stylesWithEffects.xml"/><Relationship Id="rId21" Type="http://schemas.openxmlformats.org/officeDocument/2006/relationships/hyperlink" Target="http://www.jonesday.com/experiencepractices/ExperienceDetail.aspx?experienceid=15946" TargetMode="External"/><Relationship Id="rId34" Type="http://schemas.openxmlformats.org/officeDocument/2006/relationships/hyperlink" Target="http://www.jonesday.com/files/Publication/3c4b52c2-8a6e-42ce-8a21-0e533d65198e/Presentation/PublicationAttachment/51a5ad43-d313-493c-8959-0fe5b561a079/1362944.pdf" TargetMode="External"/><Relationship Id="rId42" Type="http://schemas.openxmlformats.org/officeDocument/2006/relationships/fontTable" Target="fontTable.xml"/><Relationship Id="rId7" Type="http://schemas.openxmlformats.org/officeDocument/2006/relationships/hyperlink" Target="javascript:SPMail.SendEmail('sclerckx','jonesday.com');" TargetMode="External"/><Relationship Id="rId12" Type="http://schemas.openxmlformats.org/officeDocument/2006/relationships/hyperlink" Target="http://www.jonesday.com/experiencepractices/ExperienceDetail.aspx?experienceid=30428" TargetMode="External"/><Relationship Id="rId17" Type="http://schemas.openxmlformats.org/officeDocument/2006/relationships/hyperlink" Target="http://www.jonesday.com/experiencepractices/ExperienceDetail.aspx?experienceid=27977" TargetMode="External"/><Relationship Id="rId25" Type="http://schemas.openxmlformats.org/officeDocument/2006/relationships/hyperlink" Target="http://www.jonesday.com/Antitrust-Alert-Belgium-Introduces-New-Leniency-Guidelines-on-Competition-Law-Prosecutions-03-28-2016" TargetMode="External"/><Relationship Id="rId33" Type="http://schemas.openxmlformats.org/officeDocument/2006/relationships/hyperlink" Target="http://www.jonesday.com/US-Department-of-Justice-and-European-Commission-Close-Antitrust-Investigations-Into-High-Profile-Patent-Acquisitions-02-23-2012" TargetMode="External"/><Relationship Id="rId38" Type="http://schemas.openxmlformats.org/officeDocument/2006/relationships/hyperlink" Target="http://www.jonesday.com/Antitrust-Alert--ECJ-Affirms-Judgment-Against-Deutsche-Telecom-in-Margin-Squeeze-Case-10-20-2010" TargetMode="External"/><Relationship Id="rId2" Type="http://schemas.openxmlformats.org/officeDocument/2006/relationships/styles" Target="styles.xml"/><Relationship Id="rId16" Type="http://schemas.openxmlformats.org/officeDocument/2006/relationships/hyperlink" Target="http://www.jonesday.com/experiencepractices/ExperienceDetail.aspx?experienceid=28020" TargetMode="External"/><Relationship Id="rId20" Type="http://schemas.openxmlformats.org/officeDocument/2006/relationships/hyperlink" Target="http://www.jonesday.com/experiencepractices/ExperienceDetail.aspx?experienceid=24946" TargetMode="External"/><Relationship Id="rId29" Type="http://schemas.openxmlformats.org/officeDocument/2006/relationships/hyperlink" Target="http://www.jonesday.com/Antitrust-Alert--EU-Commission-Proposes-New-Measures-to-Foster-Damages-Litigation-06-20-2013" TargetMode="External"/><Relationship Id="rId41" Type="http://schemas.openxmlformats.org/officeDocument/2006/relationships/hyperlink" Target="http://www.jonesday.com/Recent-Legal-Developments-in-China-12-14-201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onesday.com/experiencepractices/ExperienceDetail.aspx?experienceid=30530" TargetMode="External"/><Relationship Id="rId24" Type="http://schemas.openxmlformats.org/officeDocument/2006/relationships/hyperlink" Target="http://www.jonesday.com/experiencepractices/ExperienceDetail.aspx?experienceid=15836" TargetMode="External"/><Relationship Id="rId32" Type="http://schemas.openxmlformats.org/officeDocument/2006/relationships/hyperlink" Target="http://www.jonesday.com/Antitrust-Alert--EU-General-Court-Reverses-European-Commission-in-CISAC-Music-Rights-Case-04-18-2013" TargetMode="External"/><Relationship Id="rId37" Type="http://schemas.openxmlformats.org/officeDocument/2006/relationships/hyperlink" Target="http://www.jonesday.com/Antitrust-Alert--EU-Court-of-Justice-Provides-Guidance-on-Abusive-Margin-Squeezes-02-23-2011" TargetMode="External"/><Relationship Id="rId40" Type="http://schemas.openxmlformats.org/officeDocument/2006/relationships/hyperlink" Target="http://www.jonesday.com/Antitrust-Alert--ECJ-Advocate-General-Seeks-to-Affirm-Judgment-in-Margin-Squeeze-Case-04-27-2010" TargetMode="External"/><Relationship Id="rId5" Type="http://schemas.openxmlformats.org/officeDocument/2006/relationships/webSettings" Target="webSettings.xml"/><Relationship Id="rId15" Type="http://schemas.openxmlformats.org/officeDocument/2006/relationships/hyperlink" Target="http://www.jonesday.com/experiencepractices/ExperienceDetail.aspx?experienceid=28303" TargetMode="External"/><Relationship Id="rId23" Type="http://schemas.openxmlformats.org/officeDocument/2006/relationships/hyperlink" Target="http://www.jonesday.com/experiencepractices/ExperienceDetail.aspx?experienceid=16661" TargetMode="External"/><Relationship Id="rId28" Type="http://schemas.openxmlformats.org/officeDocument/2006/relationships/hyperlink" Target="http://www.jonesday.com/Antitrust-Alert--European-Commission-Targets-Non-Controlling-Minority-Shareholdings-and-Case-Referrals-in-New-Consultation-on-Modifying-EU-Merger-Regulation" TargetMode="External"/><Relationship Id="rId36" Type="http://schemas.openxmlformats.org/officeDocument/2006/relationships/hyperlink" Target="http://www.jonesday.com/Antitrust-Alert--EU-Court-Restricts-Member-State-Freedom-to-Impose-Must-Carry-Obligations-on-Network-Operators-03-21-2011" TargetMode="External"/><Relationship Id="rId10" Type="http://schemas.openxmlformats.org/officeDocument/2006/relationships/hyperlink" Target="http://www.jonesday.com/experiencepractices/ExperienceDetail.aspx?experienceid=27463" TargetMode="External"/><Relationship Id="rId19" Type="http://schemas.openxmlformats.org/officeDocument/2006/relationships/hyperlink" Target="http://www.jonesday.com/experiencepractices/ExperienceDetail.aspx?experienceid=26836" TargetMode="External"/><Relationship Id="rId31" Type="http://schemas.openxmlformats.org/officeDocument/2006/relationships/hyperlink" Target="http://www.jonesday.com/Antitrust-Alert--Belgium-Enacts-New-Competition-Law-05-01-2013" TargetMode="External"/><Relationship Id="rId4" Type="http://schemas.openxmlformats.org/officeDocument/2006/relationships/settings" Target="settings.xml"/><Relationship Id="rId9" Type="http://schemas.openxmlformats.org/officeDocument/2006/relationships/hyperlink" Target="http://www.jonesday.com/experiencepractices/ExperienceDetail.aspx?experienceid=30646" TargetMode="External"/><Relationship Id="rId14" Type="http://schemas.openxmlformats.org/officeDocument/2006/relationships/hyperlink" Target="http://www.jonesday.com/experiencepractices/ExperienceDetail.aspx?experienceid=28893" TargetMode="External"/><Relationship Id="rId22" Type="http://schemas.openxmlformats.org/officeDocument/2006/relationships/hyperlink" Target="http://www.jonesday.com/experiencepractices/ExperienceDetail.aspx?experienceid=14828" TargetMode="External"/><Relationship Id="rId27" Type="http://schemas.openxmlformats.org/officeDocument/2006/relationships/hyperlink" Target="http://www.jonesday.com/Antitrust-Alert--European-Commissions-Simplified-Merger-Control-Notification-Procedures-to-Be-Effective-in-2014-12-13-2013" TargetMode="External"/><Relationship Id="rId30" Type="http://schemas.openxmlformats.org/officeDocument/2006/relationships/hyperlink" Target="http://www.jonesday.com/Antitrust-Alert--European-Commission-Consults-on-Proposals-to-Modify-Merger-Control-Notification-Procedures-05-24-2013" TargetMode="External"/><Relationship Id="rId35" Type="http://schemas.openxmlformats.org/officeDocument/2006/relationships/image" Target="media/image2.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2196</Words>
  <Characters>12081</Characters>
  <Application>Microsoft Office Word</Application>
  <DocSecurity>0</DocSecurity>
  <Lines>100</Lines>
  <Paragraphs>28</Paragraphs>
  <ScaleCrop>false</ScaleCrop>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Barbu</dc:creator>
  <cp:keywords/>
  <dc:description/>
  <cp:lastModifiedBy>Delia Barbu</cp:lastModifiedBy>
  <cp:revision>3</cp:revision>
  <dcterms:created xsi:type="dcterms:W3CDTF">2016-06-07T12:35:00Z</dcterms:created>
  <dcterms:modified xsi:type="dcterms:W3CDTF">2016-06-07T12:40:00Z</dcterms:modified>
</cp:coreProperties>
</file>