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1"/>
        <w:gridCol w:w="2157"/>
      </w:tblGrid>
      <w:tr w:rsidR="003D31DC" w:rsidRPr="00392ED4">
        <w:trPr>
          <w:trHeight w:val="2268"/>
        </w:trPr>
        <w:tc>
          <w:tcPr>
            <w:tcW w:w="6671" w:type="dxa"/>
            <w:tcMar>
              <w:left w:w="0" w:type="dxa"/>
              <w:right w:w="0" w:type="dxa"/>
            </w:tcMar>
          </w:tcPr>
          <w:p w:rsidR="003D31DC" w:rsidRPr="00392ED4" w:rsidRDefault="00392ED4">
            <w:pPr>
              <w:pStyle w:val="Name"/>
            </w:pPr>
            <w:bookmarkStart w:id="0" w:name="bmkCandidateName"/>
            <w:bookmarkStart w:id="1" w:name="_GoBack"/>
            <w:bookmarkEnd w:id="1"/>
            <w:r w:rsidRPr="00392ED4">
              <w:t xml:space="preserve">Peter </w:t>
            </w:r>
            <w:proofErr w:type="spellStart"/>
            <w:r w:rsidRPr="00392ED4">
              <w:t>W.A</w:t>
            </w:r>
            <w:proofErr w:type="spellEnd"/>
            <w:r w:rsidRPr="00392ED4">
              <w:t>. Goes</w:t>
            </w:r>
            <w:bookmarkEnd w:id="0"/>
          </w:p>
          <w:p w:rsidR="00392ED4" w:rsidRPr="00135894" w:rsidRDefault="00392ED4" w:rsidP="00392ED4">
            <w:pPr>
              <w:pStyle w:val="BodyCV"/>
              <w:jc w:val="left"/>
            </w:pPr>
            <w:bookmarkStart w:id="2" w:name="bmkPresentPositionH"/>
            <w:r w:rsidRPr="00135894">
              <w:rPr>
                <w:b/>
              </w:rPr>
              <w:t>Present Position</w:t>
            </w:r>
            <w:bookmarkEnd w:id="2"/>
            <w:r w:rsidRPr="00135894">
              <w:rPr>
                <w:b/>
              </w:rPr>
              <w:t>:</w:t>
            </w:r>
            <w:r w:rsidRPr="00135894">
              <w:rPr>
                <w:bCs/>
              </w:rPr>
              <w:t xml:space="preserve">  </w:t>
            </w:r>
            <w:bookmarkStart w:id="3" w:name="bmkPresentPosition"/>
            <w:bookmarkEnd w:id="3"/>
            <w:r>
              <w:rPr>
                <w:bCs/>
              </w:rPr>
              <w:t>Partner</w:t>
            </w:r>
          </w:p>
          <w:p w:rsidR="00392ED4" w:rsidRPr="00135894" w:rsidRDefault="00392ED4" w:rsidP="00392ED4">
            <w:pPr>
              <w:pStyle w:val="BodyCV"/>
              <w:jc w:val="left"/>
            </w:pPr>
            <w:bookmarkStart w:id="4" w:name="bmkOfficeH"/>
            <w:r w:rsidRPr="00135894">
              <w:rPr>
                <w:b/>
                <w:bCs/>
              </w:rPr>
              <w:t>Office</w:t>
            </w:r>
            <w:bookmarkEnd w:id="4"/>
            <w:r w:rsidRPr="00135894">
              <w:rPr>
                <w:b/>
                <w:bCs/>
              </w:rPr>
              <w:t>:</w:t>
            </w:r>
            <w:r w:rsidRPr="00135894">
              <w:t xml:space="preserve">  </w:t>
            </w:r>
            <w:bookmarkStart w:id="5" w:name="bmkOffice"/>
            <w:bookmarkEnd w:id="5"/>
            <w:r w:rsidR="002E0463">
              <w:t>Luxembourg</w:t>
            </w:r>
          </w:p>
          <w:p w:rsidR="00392ED4" w:rsidRPr="00135894" w:rsidRDefault="00392ED4" w:rsidP="00392ED4">
            <w:pPr>
              <w:pStyle w:val="BodyCV"/>
              <w:jc w:val="left"/>
            </w:pPr>
            <w:bookmarkStart w:id="6" w:name="bmkNationalityH"/>
            <w:r w:rsidRPr="00135894">
              <w:rPr>
                <w:b/>
              </w:rPr>
              <w:t>Nationality</w:t>
            </w:r>
            <w:bookmarkEnd w:id="6"/>
            <w:r w:rsidRPr="00135894">
              <w:rPr>
                <w:b/>
              </w:rPr>
              <w:t>:</w:t>
            </w:r>
            <w:r w:rsidRPr="00135894">
              <w:rPr>
                <w:bCs/>
              </w:rPr>
              <w:t xml:space="preserve">  </w:t>
            </w:r>
            <w:bookmarkStart w:id="7" w:name="bmkNationality"/>
            <w:bookmarkEnd w:id="7"/>
            <w:r>
              <w:rPr>
                <w:bCs/>
              </w:rPr>
              <w:t>Dutch</w:t>
            </w:r>
          </w:p>
          <w:p w:rsidR="00392ED4" w:rsidRPr="00135894" w:rsidRDefault="00392ED4" w:rsidP="00392ED4">
            <w:pPr>
              <w:pStyle w:val="BodyCV"/>
              <w:jc w:val="left"/>
            </w:pPr>
            <w:bookmarkStart w:id="8" w:name="bmkDOBH"/>
            <w:r w:rsidRPr="00135894">
              <w:rPr>
                <w:b/>
              </w:rPr>
              <w:t>Date of Birth</w:t>
            </w:r>
            <w:bookmarkEnd w:id="8"/>
            <w:r w:rsidRPr="00135894">
              <w:rPr>
                <w:b/>
              </w:rPr>
              <w:t>:</w:t>
            </w:r>
            <w:r w:rsidRPr="00135894">
              <w:rPr>
                <w:bCs/>
              </w:rPr>
              <w:t xml:space="preserve">  </w:t>
            </w:r>
            <w:bookmarkStart w:id="9" w:name="bmkDOB"/>
            <w:bookmarkEnd w:id="9"/>
            <w:r>
              <w:rPr>
                <w:bCs/>
              </w:rPr>
              <w:t>7 September 1961</w:t>
            </w:r>
          </w:p>
          <w:p w:rsidR="00392ED4" w:rsidRPr="00B87999" w:rsidRDefault="00392ED4" w:rsidP="000260AC">
            <w:pPr>
              <w:pStyle w:val="BodyCV"/>
              <w:tabs>
                <w:tab w:val="clear" w:pos="1418"/>
                <w:tab w:val="left" w:pos="1218"/>
              </w:tabs>
              <w:jc w:val="left"/>
              <w:rPr>
                <w:bCs/>
              </w:rPr>
            </w:pPr>
            <w:bookmarkStart w:id="10" w:name="bmkProfessionH"/>
            <w:r w:rsidRPr="00135894">
              <w:rPr>
                <w:b/>
              </w:rPr>
              <w:t>Profession</w:t>
            </w:r>
            <w:bookmarkEnd w:id="10"/>
            <w:r w:rsidRPr="00135894">
              <w:rPr>
                <w:b/>
              </w:rPr>
              <w:t>:</w:t>
            </w:r>
            <w:r w:rsidRPr="00135894">
              <w:rPr>
                <w:bCs/>
              </w:rPr>
              <w:t xml:space="preserve">  </w:t>
            </w:r>
            <w:bookmarkStart w:id="11" w:name="bmkProfession"/>
            <w:bookmarkEnd w:id="11"/>
            <w:r w:rsidR="00835F8C">
              <w:rPr>
                <w:bCs/>
              </w:rPr>
              <w:t>Dutch attorney</w:t>
            </w:r>
            <w:r w:rsidR="00D163C4">
              <w:rPr>
                <w:bCs/>
              </w:rPr>
              <w:t xml:space="preserve"> admitted to the Amsterdam and Luxembourg </w:t>
            </w:r>
            <w:r w:rsidR="00D163C4">
              <w:rPr>
                <w:bCs/>
              </w:rPr>
              <w:br/>
            </w:r>
            <w:r w:rsidR="000260AC">
              <w:rPr>
                <w:bCs/>
              </w:rPr>
              <w:tab/>
            </w:r>
            <w:r w:rsidR="00D163C4">
              <w:rPr>
                <w:bCs/>
              </w:rPr>
              <w:t>bars</w:t>
            </w:r>
          </w:p>
          <w:p w:rsidR="003D31DC" w:rsidRPr="00392ED4" w:rsidRDefault="00392ED4" w:rsidP="00392ED4">
            <w:pPr>
              <w:pStyle w:val="BodyCV"/>
            </w:pPr>
            <w:bookmarkStart w:id="12" w:name="bmkLanguagesH"/>
            <w:r w:rsidRPr="00135894">
              <w:rPr>
                <w:b/>
                <w:bCs/>
              </w:rPr>
              <w:t>Languages</w:t>
            </w:r>
            <w:bookmarkEnd w:id="12"/>
            <w:r w:rsidRPr="00135894">
              <w:rPr>
                <w:b/>
                <w:bCs/>
              </w:rPr>
              <w:t>:</w:t>
            </w:r>
            <w:r w:rsidRPr="00135894">
              <w:t xml:space="preserve">  </w:t>
            </w:r>
            <w:r>
              <w:t>Dutch, English, German</w:t>
            </w:r>
            <w:bookmarkStart w:id="13" w:name="bmkLanguages"/>
            <w:bookmarkEnd w:id="13"/>
          </w:p>
        </w:tc>
        <w:tc>
          <w:tcPr>
            <w:tcW w:w="2157" w:type="dxa"/>
            <w:tcMar>
              <w:left w:w="0" w:type="dxa"/>
              <w:right w:w="0" w:type="dxa"/>
            </w:tcMar>
          </w:tcPr>
          <w:p w:rsidR="003D31DC" w:rsidRPr="00392ED4" w:rsidRDefault="006B6126">
            <w:pPr>
              <w:pStyle w:val="BodyCV"/>
              <w:jc w:val="right"/>
              <w:rPr>
                <w:sz w:val="13"/>
                <w:szCs w:val="13"/>
              </w:rPr>
            </w:pPr>
            <w:bookmarkStart w:id="14" w:name="bmkPhoto"/>
            <w:bookmarkEnd w:id="14"/>
            <w:r>
              <w:rPr>
                <w:noProof/>
                <w:sz w:val="13"/>
                <w:szCs w:val="13"/>
                <w:lang w:val="en-US" w:eastAsia="zh-CN" w:bidi="hi-IN"/>
              </w:rPr>
              <w:drawing>
                <wp:inline distT="0" distB="0" distL="0" distR="0">
                  <wp:extent cx="1123950" cy="1495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Peter Goe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1DC" w:rsidRPr="00392ED4">
        <w:tc>
          <w:tcPr>
            <w:tcW w:w="6671" w:type="dxa"/>
            <w:tcMar>
              <w:left w:w="0" w:type="dxa"/>
              <w:right w:w="0" w:type="dxa"/>
            </w:tcMar>
          </w:tcPr>
          <w:p w:rsidR="003D31DC" w:rsidRPr="00392ED4" w:rsidRDefault="003D31DC">
            <w:pPr>
              <w:pStyle w:val="BodyCV"/>
            </w:pPr>
          </w:p>
        </w:tc>
        <w:tc>
          <w:tcPr>
            <w:tcW w:w="2157" w:type="dxa"/>
            <w:tcMar>
              <w:left w:w="0" w:type="dxa"/>
              <w:right w:w="0" w:type="dxa"/>
            </w:tcMar>
          </w:tcPr>
          <w:p w:rsidR="003D31DC" w:rsidRPr="00392ED4" w:rsidRDefault="003D31DC">
            <w:pPr>
              <w:pStyle w:val="BodyCV"/>
            </w:pPr>
          </w:p>
        </w:tc>
      </w:tr>
      <w:tr w:rsidR="003D31DC" w:rsidRPr="00392ED4">
        <w:trPr>
          <w:cantSplit/>
        </w:trPr>
        <w:tc>
          <w:tcPr>
            <w:tcW w:w="6671" w:type="dxa"/>
            <w:tcMar>
              <w:left w:w="0" w:type="dxa"/>
              <w:right w:w="0" w:type="dxa"/>
            </w:tcMar>
          </w:tcPr>
          <w:p w:rsidR="00392ED4" w:rsidRPr="00135894" w:rsidRDefault="00392ED4" w:rsidP="00392ED4">
            <w:pPr>
              <w:pStyle w:val="BodyCV"/>
            </w:pPr>
            <w:bookmarkStart w:id="15" w:name="bmkPracticeAreaH"/>
            <w:r w:rsidRPr="00135894">
              <w:rPr>
                <w:b/>
                <w:bCs/>
              </w:rPr>
              <w:t>Practice Area</w:t>
            </w:r>
            <w:bookmarkEnd w:id="15"/>
            <w:r w:rsidRPr="00135894">
              <w:rPr>
                <w:b/>
                <w:bCs/>
              </w:rPr>
              <w:t>:</w:t>
            </w:r>
            <w:r w:rsidRPr="00135894">
              <w:t xml:space="preserve">  </w:t>
            </w:r>
            <w:bookmarkStart w:id="16" w:name="bmkPracticeArea"/>
            <w:bookmarkEnd w:id="16"/>
            <w:r>
              <w:t>Corporate/</w:t>
            </w:r>
            <w:proofErr w:type="spellStart"/>
            <w:r>
              <w:t>M&amp;A</w:t>
            </w:r>
            <w:proofErr w:type="spellEnd"/>
          </w:p>
          <w:p w:rsidR="00392ED4" w:rsidRPr="00135894" w:rsidRDefault="00392ED4" w:rsidP="00392ED4">
            <w:pPr>
              <w:pStyle w:val="BodyCV"/>
            </w:pPr>
            <w:bookmarkStart w:id="17" w:name="bmkDirectTelephoneH"/>
            <w:r w:rsidRPr="00135894">
              <w:rPr>
                <w:b/>
                <w:bCs/>
              </w:rPr>
              <w:t>Direct Telephone</w:t>
            </w:r>
            <w:bookmarkEnd w:id="17"/>
            <w:r w:rsidRPr="00135894">
              <w:rPr>
                <w:b/>
                <w:bCs/>
              </w:rPr>
              <w:t>:</w:t>
            </w:r>
            <w:r w:rsidRPr="00135894">
              <w:t xml:space="preserve">  </w:t>
            </w:r>
            <w:bookmarkStart w:id="18" w:name="bmkDirectTelephone"/>
            <w:bookmarkEnd w:id="18"/>
            <w:r w:rsidR="00436EEB">
              <w:t>(+</w:t>
            </w:r>
            <w:r w:rsidR="002E0463">
              <w:t>352</w:t>
            </w:r>
            <w:r w:rsidR="00436EEB">
              <w:t xml:space="preserve">) </w:t>
            </w:r>
            <w:r w:rsidR="002E0463">
              <w:t>2608 8362</w:t>
            </w:r>
          </w:p>
          <w:p w:rsidR="00392ED4" w:rsidRPr="00135894" w:rsidRDefault="00392ED4" w:rsidP="00392ED4">
            <w:pPr>
              <w:pStyle w:val="BodyCV"/>
            </w:pPr>
            <w:bookmarkStart w:id="19" w:name="bmkDirectFaxH"/>
            <w:r w:rsidRPr="00135894">
              <w:rPr>
                <w:b/>
                <w:bCs/>
              </w:rPr>
              <w:t>Direct Fax</w:t>
            </w:r>
            <w:bookmarkEnd w:id="19"/>
            <w:r w:rsidRPr="00135894">
              <w:rPr>
                <w:b/>
                <w:bCs/>
              </w:rPr>
              <w:t>:</w:t>
            </w:r>
            <w:r w:rsidRPr="00135894">
              <w:t xml:space="preserve">  </w:t>
            </w:r>
            <w:bookmarkStart w:id="20" w:name="bmkDirectFax"/>
            <w:bookmarkEnd w:id="20"/>
            <w:r w:rsidR="00436EEB">
              <w:t>(+</w:t>
            </w:r>
            <w:r w:rsidR="002E0463">
              <w:t>352</w:t>
            </w:r>
            <w:r w:rsidR="00436EEB">
              <w:t xml:space="preserve">) </w:t>
            </w:r>
            <w:r w:rsidR="002E0463">
              <w:t>2608 8888</w:t>
            </w:r>
          </w:p>
          <w:p w:rsidR="00392ED4" w:rsidRPr="00135894" w:rsidRDefault="00392ED4" w:rsidP="00392ED4">
            <w:pPr>
              <w:pStyle w:val="BodyCV"/>
            </w:pPr>
            <w:bookmarkStart w:id="21" w:name="bmkMobileH"/>
            <w:r w:rsidRPr="00135894">
              <w:rPr>
                <w:b/>
                <w:bCs/>
              </w:rPr>
              <w:t>Mobile</w:t>
            </w:r>
            <w:bookmarkEnd w:id="21"/>
            <w:r w:rsidRPr="00135894">
              <w:rPr>
                <w:b/>
                <w:bCs/>
              </w:rPr>
              <w:t>:</w:t>
            </w:r>
            <w:r w:rsidRPr="00135894">
              <w:t xml:space="preserve">  </w:t>
            </w:r>
            <w:bookmarkStart w:id="22" w:name="bmkMobile"/>
            <w:bookmarkEnd w:id="22"/>
            <w:r w:rsidR="002E0463" w:rsidRPr="002E0463">
              <w:t>(+352) 691 10 8362</w:t>
            </w:r>
          </w:p>
          <w:p w:rsidR="003D31DC" w:rsidRPr="00392ED4" w:rsidRDefault="00392ED4" w:rsidP="00392ED4">
            <w:pPr>
              <w:pStyle w:val="BodyCV"/>
            </w:pPr>
            <w:bookmarkStart w:id="23" w:name="bmkEmailH"/>
            <w:r w:rsidRPr="00135894">
              <w:rPr>
                <w:b/>
                <w:bCs/>
              </w:rPr>
              <w:t>E-mail</w:t>
            </w:r>
            <w:bookmarkEnd w:id="23"/>
            <w:r w:rsidRPr="00135894">
              <w:rPr>
                <w:b/>
                <w:bCs/>
              </w:rPr>
              <w:t>:</w:t>
            </w:r>
            <w:r w:rsidRPr="00135894">
              <w:t xml:space="preserve">  </w:t>
            </w:r>
            <w:r>
              <w:t>peter.goes@linklaters.com</w:t>
            </w:r>
            <w:bookmarkStart w:id="24" w:name="bmkEmail"/>
            <w:bookmarkEnd w:id="24"/>
          </w:p>
        </w:tc>
        <w:tc>
          <w:tcPr>
            <w:tcW w:w="2157" w:type="dxa"/>
            <w:tcMar>
              <w:left w:w="0" w:type="dxa"/>
              <w:right w:w="0" w:type="dxa"/>
            </w:tcMar>
          </w:tcPr>
          <w:p w:rsidR="003D31DC" w:rsidRPr="00392ED4" w:rsidRDefault="003D31DC">
            <w:pPr>
              <w:pStyle w:val="BodyCV"/>
              <w:jc w:val="right"/>
            </w:pPr>
          </w:p>
        </w:tc>
      </w:tr>
      <w:tr w:rsidR="003D31DC" w:rsidRPr="00392ED4">
        <w:trPr>
          <w:trHeight w:hRule="exact" w:val="227"/>
        </w:trPr>
        <w:tc>
          <w:tcPr>
            <w:tcW w:w="8828" w:type="dxa"/>
            <w:gridSpan w:val="2"/>
            <w:tcMar>
              <w:left w:w="0" w:type="dxa"/>
              <w:right w:w="0" w:type="dxa"/>
            </w:tcMar>
          </w:tcPr>
          <w:p w:rsidR="003D31DC" w:rsidRPr="00392ED4" w:rsidRDefault="003D31DC">
            <w:pPr>
              <w:pStyle w:val="BodyCV"/>
            </w:pPr>
          </w:p>
        </w:tc>
      </w:tr>
      <w:tr w:rsidR="003D31DC" w:rsidRPr="00392ED4">
        <w:tc>
          <w:tcPr>
            <w:tcW w:w="8828" w:type="dxa"/>
            <w:gridSpan w:val="2"/>
            <w:tcMar>
              <w:left w:w="0" w:type="dxa"/>
              <w:right w:w="0" w:type="dxa"/>
            </w:tcMar>
          </w:tcPr>
          <w:p w:rsidR="003D31DC" w:rsidRPr="00392ED4" w:rsidRDefault="00392ED4">
            <w:pPr>
              <w:pStyle w:val="HeadingCV"/>
            </w:pPr>
            <w:bookmarkStart w:id="25" w:name="bmkExperienceH"/>
            <w:r w:rsidRPr="00392ED4">
              <w:t>Experience</w:t>
            </w:r>
            <w:bookmarkEnd w:id="25"/>
            <w:r w:rsidR="003D31DC" w:rsidRPr="00392ED4">
              <w:t>:</w:t>
            </w:r>
          </w:p>
          <w:p w:rsidR="00392ED4" w:rsidRPr="00AB7378" w:rsidRDefault="00A66DD9" w:rsidP="00A66DD9">
            <w:pPr>
              <w:pStyle w:val="BodyCV"/>
            </w:pPr>
            <w:bookmarkStart w:id="26" w:name="bmkExperience"/>
            <w:bookmarkEnd w:id="26"/>
            <w:r>
              <w:t>With over 2</w:t>
            </w:r>
            <w:r w:rsidR="00D163C4">
              <w:t>8</w:t>
            </w:r>
            <w:r>
              <w:t xml:space="preserve"> years</w:t>
            </w:r>
            <w:r w:rsidR="00CE728E">
              <w:t>’</w:t>
            </w:r>
            <w:r>
              <w:t xml:space="preserve"> experience Peter s</w:t>
            </w:r>
            <w:r w:rsidR="00392ED4">
              <w:t>pecialises</w:t>
            </w:r>
            <w:r w:rsidR="00392ED4" w:rsidRPr="00AB7378">
              <w:t xml:space="preserve"> in corporate work</w:t>
            </w:r>
            <w:r w:rsidR="00392ED4">
              <w:t>, mainly in the areas of (cross-</w:t>
            </w:r>
            <w:r w:rsidR="00392ED4" w:rsidRPr="00AB7378">
              <w:t xml:space="preserve">border) </w:t>
            </w:r>
            <w:proofErr w:type="spellStart"/>
            <w:r w:rsidR="00392ED4" w:rsidRPr="00AB7378">
              <w:t>M&amp;A</w:t>
            </w:r>
            <w:proofErr w:type="spellEnd"/>
            <w:r w:rsidR="00392ED4" w:rsidRPr="00AB7378">
              <w:t xml:space="preserve"> (including public </w:t>
            </w:r>
            <w:proofErr w:type="spellStart"/>
            <w:r w:rsidR="00392ED4" w:rsidRPr="00AB7378">
              <w:t>M&amp;A</w:t>
            </w:r>
            <w:proofErr w:type="spellEnd"/>
            <w:r w:rsidR="00392ED4" w:rsidRPr="00AB7378">
              <w:t>), Private Equity and board room consulting. He also has considerable experience in and knowledge of the Energy &amp; Utilities market</w:t>
            </w:r>
            <w:r w:rsidR="003A56E8">
              <w:t xml:space="preserve"> </w:t>
            </w:r>
            <w:r w:rsidR="003A56E8" w:rsidRPr="0021051E">
              <w:t>and the market of financial institutions</w:t>
            </w:r>
            <w:r w:rsidR="00392ED4" w:rsidRPr="00AB7378">
              <w:t xml:space="preserve">. </w:t>
            </w:r>
            <w:r w:rsidR="002E0463">
              <w:t>Peter has experience in the Chinese market as he spent 1.5 years in Linklaters’ Beijing office in 2012 and 2013.</w:t>
            </w:r>
            <w:r w:rsidR="00D163C4">
              <w:t xml:space="preserve"> He joined Linklaters’ Luxembourg office in 2013.</w:t>
            </w:r>
          </w:p>
          <w:p w:rsidR="00392ED4" w:rsidRPr="00AB7378" w:rsidRDefault="00392ED4" w:rsidP="00392ED4">
            <w:pPr>
              <w:pStyle w:val="BodyCV"/>
            </w:pPr>
          </w:p>
          <w:p w:rsidR="00392ED4" w:rsidRDefault="00392ED4" w:rsidP="00392ED4">
            <w:pPr>
              <w:pStyle w:val="BodyCV"/>
            </w:pPr>
            <w:r w:rsidRPr="00AB7378">
              <w:t>Transactions of significance where substantial involvement can be disclosed have included:</w:t>
            </w:r>
          </w:p>
          <w:p w:rsidR="00F11129" w:rsidRDefault="006B7936" w:rsidP="00F11129">
            <w:pPr>
              <w:pStyle w:val="BulletCV"/>
            </w:pPr>
            <w:r>
              <w:t>advising</w:t>
            </w:r>
            <w:r w:rsidR="00F11129">
              <w:t xml:space="preserve"> Chengdu </w:t>
            </w:r>
            <w:proofErr w:type="spellStart"/>
            <w:r w:rsidR="00F11129">
              <w:t>Tianqi</w:t>
            </w:r>
            <w:proofErr w:type="spellEnd"/>
            <w:r w:rsidR="00F11129">
              <w:t xml:space="preserve"> in its </w:t>
            </w:r>
            <w:r w:rsidR="002E0463">
              <w:t xml:space="preserve">successful </w:t>
            </w:r>
            <w:r w:rsidR="00F11129">
              <w:t xml:space="preserve">unsolicited bid for </w:t>
            </w:r>
            <w:proofErr w:type="spellStart"/>
            <w:r w:rsidR="00F11129" w:rsidRPr="00F11129">
              <w:t>Talison</w:t>
            </w:r>
            <w:proofErr w:type="spellEnd"/>
            <w:r w:rsidR="00F11129" w:rsidRPr="00F11129">
              <w:t xml:space="preserve"> Lithium</w:t>
            </w:r>
          </w:p>
          <w:p w:rsidR="00A66DD9" w:rsidRDefault="00A66DD9" w:rsidP="00A66DD9">
            <w:pPr>
              <w:pStyle w:val="BulletCV"/>
              <w:numPr>
                <w:ilvl w:val="0"/>
                <w:numId w:val="1"/>
              </w:numPr>
            </w:pPr>
            <w:r>
              <w:t xml:space="preserve">advising Pang Da in its investment in Swedish Automobile </w:t>
            </w:r>
            <w:proofErr w:type="spellStart"/>
            <w:r>
              <w:t>N.V</w:t>
            </w:r>
            <w:proofErr w:type="spellEnd"/>
            <w:r>
              <w:t>., the owner of Saab</w:t>
            </w:r>
          </w:p>
          <w:p w:rsidR="00550C08" w:rsidRDefault="00550C08" w:rsidP="00392ED4">
            <w:pPr>
              <w:pStyle w:val="BulletCV"/>
              <w:numPr>
                <w:ilvl w:val="0"/>
                <w:numId w:val="1"/>
              </w:numPr>
            </w:pPr>
            <w:r>
              <w:t xml:space="preserve">advising the municipality of Eindhoven and other shareholders on the sale of the grid company </w:t>
            </w:r>
            <w:proofErr w:type="spellStart"/>
            <w:r>
              <w:t>Endinet</w:t>
            </w:r>
            <w:proofErr w:type="spellEnd"/>
          </w:p>
          <w:p w:rsidR="00550C08" w:rsidRDefault="00550C08" w:rsidP="00392ED4">
            <w:pPr>
              <w:pStyle w:val="BulletCV"/>
              <w:numPr>
                <w:ilvl w:val="0"/>
                <w:numId w:val="1"/>
              </w:numPr>
            </w:pPr>
            <w:r>
              <w:t xml:space="preserve">advising Royal Bank of Scotland and ABN </w:t>
            </w:r>
            <w:proofErr w:type="spellStart"/>
            <w:r>
              <w:t>AMRO</w:t>
            </w:r>
            <w:proofErr w:type="spellEnd"/>
            <w:r>
              <w:t xml:space="preserve"> on the break up of ABN </w:t>
            </w:r>
            <w:proofErr w:type="spellStart"/>
            <w:r>
              <w:t>AMRO</w:t>
            </w:r>
            <w:proofErr w:type="spellEnd"/>
            <w:r>
              <w:t xml:space="preserve"> as well as the accession of the Dutch State as a shareholder</w:t>
            </w:r>
          </w:p>
          <w:p w:rsidR="00282F73" w:rsidRDefault="00282F73" w:rsidP="00392ED4">
            <w:pPr>
              <w:pStyle w:val="BulletCV"/>
              <w:numPr>
                <w:ilvl w:val="0"/>
                <w:numId w:val="1"/>
              </w:numPr>
            </w:pPr>
            <w:r>
              <w:t xml:space="preserve">advising </w:t>
            </w:r>
            <w:proofErr w:type="spellStart"/>
            <w:r>
              <w:t>Amlin</w:t>
            </w:r>
            <w:proofErr w:type="spellEnd"/>
            <w:r>
              <w:t xml:space="preserve"> Plc on the acquisition of Fortis Corporate Insurance NV from the Dutch State</w:t>
            </w:r>
          </w:p>
          <w:p w:rsidR="00CB23B6" w:rsidRDefault="0003033D" w:rsidP="00392ED4">
            <w:pPr>
              <w:pStyle w:val="BulletCV"/>
              <w:numPr>
                <w:ilvl w:val="0"/>
                <w:numId w:val="1"/>
              </w:numPr>
            </w:pPr>
            <w:r>
              <w:t>advising T</w:t>
            </w:r>
            <w:r w:rsidR="00CB23B6">
              <w:t xml:space="preserve">he Dow Chemical Company as lead counsel in the sale of its stake in Total </w:t>
            </w:r>
            <w:proofErr w:type="spellStart"/>
            <w:r w:rsidR="00CB23B6">
              <w:t>Raffinaderij</w:t>
            </w:r>
            <w:proofErr w:type="spellEnd"/>
            <w:r w:rsidR="00CB23B6">
              <w:t xml:space="preserve"> Nederland</w:t>
            </w:r>
          </w:p>
          <w:p w:rsidR="00CB23B6" w:rsidRDefault="00CB23B6" w:rsidP="00392ED4">
            <w:pPr>
              <w:pStyle w:val="BulletCV"/>
              <w:numPr>
                <w:ilvl w:val="0"/>
                <w:numId w:val="1"/>
              </w:numPr>
            </w:pPr>
            <w:r>
              <w:t xml:space="preserve">advising </w:t>
            </w:r>
            <w:proofErr w:type="spellStart"/>
            <w:r>
              <w:t>Vattenfall</w:t>
            </w:r>
            <w:proofErr w:type="spellEnd"/>
            <w:r>
              <w:t xml:space="preserve"> as lead counsel in the acquisition of </w:t>
            </w:r>
            <w:proofErr w:type="spellStart"/>
            <w:r>
              <w:t>Nuon</w:t>
            </w:r>
            <w:proofErr w:type="spellEnd"/>
            <w:r>
              <w:t xml:space="preserve"> Energy</w:t>
            </w:r>
          </w:p>
          <w:p w:rsidR="00392ED4" w:rsidRDefault="00392ED4" w:rsidP="00392ED4">
            <w:pPr>
              <w:pStyle w:val="BulletCV"/>
              <w:numPr>
                <w:ilvl w:val="0"/>
                <w:numId w:val="1"/>
              </w:numPr>
            </w:pPr>
            <w:r>
              <w:t xml:space="preserve">advising Royal Bank of Scotland as lead Dutch counsel in the public offer for ABN </w:t>
            </w:r>
            <w:proofErr w:type="spellStart"/>
            <w:r>
              <w:t>AMRO</w:t>
            </w:r>
            <w:proofErr w:type="spellEnd"/>
          </w:p>
          <w:p w:rsidR="00392ED4" w:rsidRDefault="00392ED4" w:rsidP="00392ED4">
            <w:pPr>
              <w:pStyle w:val="BulletCV"/>
              <w:numPr>
                <w:ilvl w:val="0"/>
                <w:numId w:val="1"/>
              </w:numPr>
            </w:pPr>
            <w:r>
              <w:t>advising AXA Group on taking a stake in Russia’s 2</w:t>
            </w:r>
            <w:r w:rsidRPr="00CE7823">
              <w:rPr>
                <w:rFonts w:ascii="Helvetica" w:hAnsi="Helvetica"/>
              </w:rPr>
              <w:t>nd</w:t>
            </w:r>
            <w:r>
              <w:t xml:space="preserve"> largest insurer, </w:t>
            </w:r>
            <w:proofErr w:type="spellStart"/>
            <w:r>
              <w:t>Reso</w:t>
            </w:r>
            <w:proofErr w:type="spellEnd"/>
            <w:r>
              <w:t xml:space="preserve"> </w:t>
            </w:r>
            <w:proofErr w:type="spellStart"/>
            <w:r>
              <w:t>Garantia</w:t>
            </w:r>
            <w:proofErr w:type="spellEnd"/>
          </w:p>
          <w:p w:rsidR="00392ED4" w:rsidRDefault="00392ED4" w:rsidP="00392ED4">
            <w:pPr>
              <w:pStyle w:val="BulletCV"/>
              <w:numPr>
                <w:ilvl w:val="0"/>
                <w:numId w:val="1"/>
              </w:numPr>
            </w:pPr>
            <w:r>
              <w:t xml:space="preserve">advising Gazprom on its investment in the </w:t>
            </w:r>
            <w:proofErr w:type="spellStart"/>
            <w:r>
              <w:t>BBL</w:t>
            </w:r>
            <w:proofErr w:type="spellEnd"/>
            <w:r>
              <w:t xml:space="preserve"> </w:t>
            </w:r>
            <w:proofErr w:type="spellStart"/>
            <w:r>
              <w:t>gaspipe</w:t>
            </w:r>
            <w:proofErr w:type="spellEnd"/>
          </w:p>
          <w:p w:rsidR="00392ED4" w:rsidRDefault="00392ED4" w:rsidP="00392ED4">
            <w:pPr>
              <w:pStyle w:val="BulletCV"/>
              <w:numPr>
                <w:ilvl w:val="0"/>
                <w:numId w:val="1"/>
              </w:numPr>
            </w:pPr>
            <w:r>
              <w:t>advising Abu Dhabi National Energy Company (</w:t>
            </w:r>
            <w:proofErr w:type="spellStart"/>
            <w:r>
              <w:t>TAQA</w:t>
            </w:r>
            <w:proofErr w:type="spellEnd"/>
            <w:r>
              <w:t>) on the acquisition of BP’s Dutch upstream and underground storage assets</w:t>
            </w:r>
          </w:p>
          <w:p w:rsidR="00392ED4" w:rsidRPr="00AB7378" w:rsidRDefault="00392ED4" w:rsidP="00392ED4">
            <w:pPr>
              <w:pStyle w:val="BulletCV"/>
              <w:numPr>
                <w:ilvl w:val="0"/>
                <w:numId w:val="1"/>
              </w:numPr>
            </w:pPr>
            <w:r w:rsidRPr="00AB7378">
              <w:t xml:space="preserve">advising </w:t>
            </w:r>
            <w:proofErr w:type="spellStart"/>
            <w:r w:rsidRPr="00AB7378">
              <w:t>Telegraaf</w:t>
            </w:r>
            <w:proofErr w:type="spellEnd"/>
            <w:r w:rsidRPr="00AB7378">
              <w:t xml:space="preserve"> Media </w:t>
            </w:r>
            <w:proofErr w:type="spellStart"/>
            <w:r w:rsidRPr="00AB7378">
              <w:t>Groep</w:t>
            </w:r>
            <w:proofErr w:type="spellEnd"/>
            <w:r w:rsidRPr="00AB7378">
              <w:t xml:space="preserve"> </w:t>
            </w:r>
            <w:proofErr w:type="spellStart"/>
            <w:r w:rsidRPr="00AB7378">
              <w:t>N.V</w:t>
            </w:r>
            <w:proofErr w:type="spellEnd"/>
            <w:r w:rsidRPr="00AB7378">
              <w:t>. and other consortium members on the acquisition of Sky Radio Ltd</w:t>
            </w:r>
          </w:p>
          <w:p w:rsidR="00392ED4" w:rsidRPr="00AB7378" w:rsidRDefault="00392ED4" w:rsidP="00392ED4">
            <w:pPr>
              <w:pStyle w:val="BulletCV"/>
              <w:numPr>
                <w:ilvl w:val="0"/>
                <w:numId w:val="1"/>
              </w:numPr>
            </w:pPr>
            <w:r w:rsidRPr="00AB7378">
              <w:t>advising Royal P&amp;O Nedllo</w:t>
            </w:r>
            <w:r>
              <w:t>yd as target on the public take</w:t>
            </w:r>
            <w:r w:rsidRPr="00AB7378">
              <w:t xml:space="preserve">over by A.P. </w:t>
            </w:r>
            <w:proofErr w:type="spellStart"/>
            <w:r w:rsidRPr="00AB7378">
              <w:t>M</w:t>
            </w:r>
            <w:r w:rsidRPr="00AB7378">
              <w:rPr>
                <w:rFonts w:cs="Arial"/>
              </w:rPr>
              <w:t>ø</w:t>
            </w:r>
            <w:r w:rsidRPr="00AB7378">
              <w:t>ller</w:t>
            </w:r>
            <w:proofErr w:type="spellEnd"/>
            <w:r w:rsidRPr="00AB7378">
              <w:t xml:space="preserve"> – </w:t>
            </w:r>
            <w:proofErr w:type="spellStart"/>
            <w:r w:rsidRPr="00AB7378">
              <w:t>M</w:t>
            </w:r>
            <w:r w:rsidRPr="00AB7378">
              <w:rPr>
                <w:rFonts w:cs="Arial"/>
              </w:rPr>
              <w:t>æ</w:t>
            </w:r>
            <w:r w:rsidRPr="00AB7378">
              <w:t>rsk</w:t>
            </w:r>
            <w:proofErr w:type="spellEnd"/>
            <w:r w:rsidRPr="00AB7378">
              <w:t xml:space="preserve"> </w:t>
            </w:r>
          </w:p>
          <w:p w:rsidR="00392ED4" w:rsidRPr="00AB7378" w:rsidRDefault="00392ED4" w:rsidP="00392ED4">
            <w:pPr>
              <w:pStyle w:val="BulletCV"/>
              <w:numPr>
                <w:ilvl w:val="0"/>
                <w:numId w:val="1"/>
              </w:numPr>
            </w:pPr>
            <w:r w:rsidRPr="00AB7378">
              <w:t>advising the Dutch State on the acquisition of a minority stake in the Rotterdam Port Authorities</w:t>
            </w:r>
          </w:p>
          <w:p w:rsidR="003D31DC" w:rsidRPr="00392ED4" w:rsidRDefault="00392ED4" w:rsidP="00CE728E">
            <w:pPr>
              <w:pStyle w:val="BulletCV"/>
              <w:numPr>
                <w:ilvl w:val="0"/>
                <w:numId w:val="1"/>
              </w:numPr>
            </w:pPr>
            <w:r w:rsidRPr="00AB7378">
              <w:rPr>
                <w:rFonts w:cs="Arial"/>
              </w:rPr>
              <w:t>advising the Dutch State on the acquisition of the national gas grid indirectly from Shell and ExxonMobil</w:t>
            </w:r>
          </w:p>
        </w:tc>
      </w:tr>
      <w:tr w:rsidR="003D31DC" w:rsidRPr="00392ED4">
        <w:trPr>
          <w:cantSplit/>
          <w:trHeight w:hRule="exact" w:val="227"/>
        </w:trPr>
        <w:tc>
          <w:tcPr>
            <w:tcW w:w="8828" w:type="dxa"/>
            <w:gridSpan w:val="2"/>
            <w:tcMar>
              <w:left w:w="0" w:type="dxa"/>
              <w:right w:w="0" w:type="dxa"/>
            </w:tcMar>
          </w:tcPr>
          <w:p w:rsidR="003D31DC" w:rsidRPr="00392ED4" w:rsidRDefault="003D31DC" w:rsidP="000E4AF8">
            <w:pPr>
              <w:pStyle w:val="BodyCV"/>
              <w:keepNext/>
            </w:pPr>
          </w:p>
        </w:tc>
      </w:tr>
      <w:tr w:rsidR="003D31DC" w:rsidRPr="00392ED4">
        <w:tc>
          <w:tcPr>
            <w:tcW w:w="8828" w:type="dxa"/>
            <w:gridSpan w:val="2"/>
            <w:tcMar>
              <w:left w:w="0" w:type="dxa"/>
              <w:right w:w="0" w:type="dxa"/>
            </w:tcMar>
          </w:tcPr>
          <w:p w:rsidR="003D31DC" w:rsidRPr="00392ED4" w:rsidRDefault="00392ED4" w:rsidP="000E4AF8">
            <w:pPr>
              <w:pStyle w:val="HeadingCV"/>
              <w:keepNext/>
            </w:pPr>
            <w:bookmarkStart w:id="27" w:name="bmkEducationH"/>
            <w:bookmarkStart w:id="28" w:name="bmkEducationRow"/>
            <w:r w:rsidRPr="00392ED4">
              <w:t>Education</w:t>
            </w:r>
            <w:bookmarkEnd w:id="27"/>
            <w:r w:rsidR="003D31DC" w:rsidRPr="00392ED4">
              <w:t>:</w:t>
            </w:r>
          </w:p>
          <w:p w:rsidR="003D31DC" w:rsidRPr="00392ED4" w:rsidRDefault="00392ED4" w:rsidP="000E4AF8">
            <w:pPr>
              <w:pStyle w:val="DateListCV"/>
              <w:keepNext/>
            </w:pPr>
            <w:bookmarkStart w:id="29" w:name="bmkEducation"/>
            <w:bookmarkEnd w:id="29"/>
            <w:r>
              <w:t>1984:</w:t>
            </w:r>
            <w:r>
              <w:tab/>
            </w:r>
            <w:r w:rsidRPr="00AB7378">
              <w:t>University of Groningen, Law</w:t>
            </w:r>
          </w:p>
        </w:tc>
      </w:tr>
      <w:tr w:rsidR="003D31DC" w:rsidRPr="00392ED4">
        <w:trPr>
          <w:trHeight w:hRule="exact" w:val="227"/>
        </w:trPr>
        <w:tc>
          <w:tcPr>
            <w:tcW w:w="8828" w:type="dxa"/>
            <w:gridSpan w:val="2"/>
            <w:tcMar>
              <w:left w:w="0" w:type="dxa"/>
              <w:right w:w="0" w:type="dxa"/>
            </w:tcMar>
          </w:tcPr>
          <w:p w:rsidR="003D31DC" w:rsidRPr="00392ED4" w:rsidRDefault="003D31DC">
            <w:pPr>
              <w:pStyle w:val="BodyCV"/>
            </w:pPr>
          </w:p>
        </w:tc>
      </w:tr>
      <w:tr w:rsidR="003D31DC" w:rsidRPr="00392ED4">
        <w:tc>
          <w:tcPr>
            <w:tcW w:w="8828" w:type="dxa"/>
            <w:gridSpan w:val="2"/>
            <w:tcMar>
              <w:left w:w="0" w:type="dxa"/>
              <w:right w:w="0" w:type="dxa"/>
            </w:tcMar>
          </w:tcPr>
          <w:p w:rsidR="003D31DC" w:rsidRPr="00392ED4" w:rsidRDefault="00392ED4">
            <w:pPr>
              <w:pStyle w:val="HeadingCV"/>
            </w:pPr>
            <w:bookmarkStart w:id="30" w:name="bmkCareerH"/>
            <w:bookmarkStart w:id="31" w:name="bmkCareerRow"/>
            <w:bookmarkEnd w:id="28"/>
            <w:r w:rsidRPr="00392ED4">
              <w:t>Career to Date</w:t>
            </w:r>
            <w:bookmarkEnd w:id="30"/>
            <w:r w:rsidR="003D31DC" w:rsidRPr="00392ED4">
              <w:t>:</w:t>
            </w:r>
          </w:p>
          <w:p w:rsidR="002E0463" w:rsidRDefault="002E0463" w:rsidP="00835F8C">
            <w:pPr>
              <w:pStyle w:val="BodyCV"/>
            </w:pPr>
            <w:bookmarkStart w:id="32" w:name="bmkCareer"/>
            <w:bookmarkEnd w:id="32"/>
            <w:r>
              <w:t>2013 to date:</w:t>
            </w:r>
            <w:r>
              <w:tab/>
              <w:t>Partner, Luxembourg</w:t>
            </w:r>
          </w:p>
          <w:p w:rsidR="00835F8C" w:rsidRPr="00AB7378" w:rsidRDefault="00835F8C" w:rsidP="00835F8C">
            <w:pPr>
              <w:pStyle w:val="BodyCV"/>
            </w:pPr>
            <w:r>
              <w:t>2012</w:t>
            </w:r>
            <w:r w:rsidRPr="00AB7378">
              <w:t xml:space="preserve"> </w:t>
            </w:r>
            <w:r w:rsidR="002E0463">
              <w:t>-</w:t>
            </w:r>
            <w:r w:rsidRPr="00AB7378">
              <w:t xml:space="preserve"> </w:t>
            </w:r>
            <w:r w:rsidR="002E0463">
              <w:t>2013</w:t>
            </w:r>
            <w:r w:rsidRPr="00AB7378">
              <w:t>:</w:t>
            </w:r>
            <w:r w:rsidRPr="00AB7378">
              <w:tab/>
              <w:t>Partner, Linklaters</w:t>
            </w:r>
            <w:r>
              <w:t xml:space="preserve"> Beijing</w:t>
            </w:r>
          </w:p>
          <w:p w:rsidR="00835F8C" w:rsidRPr="00AB7378" w:rsidRDefault="00835F8C" w:rsidP="00392ED4">
            <w:pPr>
              <w:pStyle w:val="BodyCV"/>
            </w:pPr>
            <w:r>
              <w:t xml:space="preserve">2005 </w:t>
            </w:r>
            <w:r w:rsidR="006C14CC">
              <w:t>-</w:t>
            </w:r>
            <w:r>
              <w:t xml:space="preserve"> 2012</w:t>
            </w:r>
            <w:r w:rsidR="00392ED4" w:rsidRPr="00AB7378">
              <w:t>:</w:t>
            </w:r>
            <w:r w:rsidR="00392ED4" w:rsidRPr="00AB7378">
              <w:tab/>
              <w:t>Partner, Linklaters</w:t>
            </w:r>
            <w:r w:rsidR="00392ED4">
              <w:t xml:space="preserve"> Amsterdam</w:t>
            </w:r>
          </w:p>
          <w:p w:rsidR="00392ED4" w:rsidRPr="00AB7378" w:rsidRDefault="00392ED4" w:rsidP="00392ED4">
            <w:pPr>
              <w:pStyle w:val="BodyCV"/>
            </w:pPr>
            <w:r w:rsidRPr="00AB7378">
              <w:t>2000 - 2005:</w:t>
            </w:r>
            <w:r w:rsidRPr="00AB7378">
              <w:tab/>
              <w:t xml:space="preserve">Partner, </w:t>
            </w:r>
            <w:proofErr w:type="spellStart"/>
            <w:r w:rsidRPr="00AB7378">
              <w:t>NautaDutilh</w:t>
            </w:r>
            <w:proofErr w:type="spellEnd"/>
            <w:r w:rsidRPr="00AB7378">
              <w:t xml:space="preserve"> </w:t>
            </w:r>
            <w:proofErr w:type="spellStart"/>
            <w:r w:rsidRPr="00AB7378">
              <w:t>N.V</w:t>
            </w:r>
            <w:proofErr w:type="spellEnd"/>
            <w:r w:rsidRPr="00AB7378">
              <w:t>.</w:t>
            </w:r>
          </w:p>
          <w:p w:rsidR="00392ED4" w:rsidRPr="00AB7378" w:rsidRDefault="00392ED4" w:rsidP="00392ED4">
            <w:pPr>
              <w:pStyle w:val="BodyCV"/>
            </w:pPr>
            <w:r>
              <w:t>1998 - 2000:</w:t>
            </w:r>
            <w:r>
              <w:tab/>
              <w:t>Partner, Pricew</w:t>
            </w:r>
            <w:r w:rsidRPr="00AB7378">
              <w:t>aterhouseCoopers</w:t>
            </w:r>
          </w:p>
          <w:p w:rsidR="00392ED4" w:rsidRPr="00AB7378" w:rsidRDefault="00392ED4" w:rsidP="00392ED4">
            <w:pPr>
              <w:pStyle w:val="BodyCV"/>
            </w:pPr>
            <w:r w:rsidRPr="00AB7378">
              <w:t>1995 - 1998:</w:t>
            </w:r>
            <w:r w:rsidRPr="00AB7378">
              <w:tab/>
              <w:t xml:space="preserve">Partner, </w:t>
            </w:r>
            <w:proofErr w:type="spellStart"/>
            <w:r w:rsidRPr="00AB7378">
              <w:t>NautaDutilh</w:t>
            </w:r>
            <w:proofErr w:type="spellEnd"/>
          </w:p>
          <w:p w:rsidR="00392ED4" w:rsidRPr="00AB7378" w:rsidRDefault="00392ED4" w:rsidP="00392ED4">
            <w:pPr>
              <w:pStyle w:val="BodyCV"/>
            </w:pPr>
            <w:r w:rsidRPr="00AB7378">
              <w:t>1989 - 1995:</w:t>
            </w:r>
            <w:r w:rsidRPr="00AB7378">
              <w:tab/>
              <w:t xml:space="preserve">Associate, </w:t>
            </w:r>
            <w:proofErr w:type="spellStart"/>
            <w:r w:rsidRPr="00AB7378">
              <w:t>NautaDutilh</w:t>
            </w:r>
            <w:proofErr w:type="spellEnd"/>
          </w:p>
          <w:p w:rsidR="003D31DC" w:rsidRPr="00392ED4" w:rsidRDefault="00392ED4" w:rsidP="00392ED4">
            <w:pPr>
              <w:pStyle w:val="DateListCV"/>
            </w:pPr>
            <w:r w:rsidRPr="00AB7378">
              <w:t>1986 - 1989:</w:t>
            </w:r>
            <w:r w:rsidRPr="00AB7378">
              <w:tab/>
              <w:t xml:space="preserve">Trainee Associate, </w:t>
            </w:r>
            <w:proofErr w:type="spellStart"/>
            <w:r w:rsidRPr="00AB7378">
              <w:t>Nauta</w:t>
            </w:r>
            <w:proofErr w:type="spellEnd"/>
            <w:r w:rsidRPr="00AB7378">
              <w:t xml:space="preserve"> Van </w:t>
            </w:r>
            <w:proofErr w:type="spellStart"/>
            <w:r w:rsidRPr="00AB7378">
              <w:t>Haersolte</w:t>
            </w:r>
            <w:proofErr w:type="spellEnd"/>
          </w:p>
        </w:tc>
      </w:tr>
      <w:tr w:rsidR="003D31DC" w:rsidRPr="00392ED4">
        <w:trPr>
          <w:cantSplit/>
          <w:trHeight w:hRule="exact" w:val="227"/>
        </w:trPr>
        <w:tc>
          <w:tcPr>
            <w:tcW w:w="8828" w:type="dxa"/>
            <w:gridSpan w:val="2"/>
            <w:tcMar>
              <w:left w:w="0" w:type="dxa"/>
              <w:right w:w="0" w:type="dxa"/>
            </w:tcMar>
          </w:tcPr>
          <w:p w:rsidR="003D31DC" w:rsidRPr="00392ED4" w:rsidRDefault="003D31DC">
            <w:pPr>
              <w:pStyle w:val="BodyCV"/>
            </w:pPr>
          </w:p>
        </w:tc>
      </w:tr>
      <w:tr w:rsidR="003D31DC" w:rsidRPr="00392ED4">
        <w:tc>
          <w:tcPr>
            <w:tcW w:w="8828" w:type="dxa"/>
            <w:gridSpan w:val="2"/>
            <w:tcMar>
              <w:left w:w="0" w:type="dxa"/>
              <w:right w:w="0" w:type="dxa"/>
            </w:tcMar>
          </w:tcPr>
          <w:p w:rsidR="003D31DC" w:rsidRPr="00392ED4" w:rsidRDefault="00392ED4">
            <w:pPr>
              <w:pStyle w:val="HeadingCV"/>
            </w:pPr>
            <w:bookmarkStart w:id="33" w:name="bmkProfessionalOfficesH"/>
            <w:bookmarkStart w:id="34" w:name="bmkProfessionalOfficesRow"/>
            <w:bookmarkEnd w:id="31"/>
            <w:r w:rsidRPr="00392ED4">
              <w:t>Professional Offices</w:t>
            </w:r>
            <w:bookmarkEnd w:id="33"/>
            <w:r w:rsidR="003D31DC" w:rsidRPr="00392ED4">
              <w:t>:</w:t>
            </w:r>
          </w:p>
          <w:p w:rsidR="00392ED4" w:rsidRDefault="00392ED4" w:rsidP="00392ED4">
            <w:pPr>
              <w:pStyle w:val="BodyCV"/>
            </w:pPr>
            <w:bookmarkStart w:id="35" w:name="bmkProfessionalOffices"/>
            <w:bookmarkEnd w:id="35"/>
            <w:r>
              <w:t xml:space="preserve">Member of the </w:t>
            </w:r>
            <w:proofErr w:type="spellStart"/>
            <w:r>
              <w:t>Vereniging</w:t>
            </w:r>
            <w:proofErr w:type="spellEnd"/>
            <w:r>
              <w:t xml:space="preserve"> Corporate Litigation (Dutch association o</w:t>
            </w:r>
            <w:r w:rsidR="00E3110C">
              <w:t>n</w:t>
            </w:r>
            <w:r>
              <w:t xml:space="preserve"> Corporate Litigation)</w:t>
            </w:r>
          </w:p>
          <w:p w:rsidR="003D31DC" w:rsidRPr="00C52706" w:rsidRDefault="003D31DC" w:rsidP="00C527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FF"/>
                <w:szCs w:val="20"/>
                <w:lang w:eastAsia="en-GB"/>
              </w:rPr>
            </w:pPr>
          </w:p>
        </w:tc>
      </w:tr>
      <w:tr w:rsidR="003D31DC" w:rsidRPr="00392ED4">
        <w:trPr>
          <w:cantSplit/>
          <w:trHeight w:hRule="exact" w:val="227"/>
        </w:trPr>
        <w:tc>
          <w:tcPr>
            <w:tcW w:w="8828" w:type="dxa"/>
            <w:gridSpan w:val="2"/>
            <w:tcMar>
              <w:left w:w="0" w:type="dxa"/>
              <w:right w:w="0" w:type="dxa"/>
            </w:tcMar>
          </w:tcPr>
          <w:p w:rsidR="003D31DC" w:rsidRPr="00392ED4" w:rsidRDefault="003D31DC">
            <w:pPr>
              <w:pStyle w:val="BodyCV"/>
            </w:pPr>
          </w:p>
        </w:tc>
      </w:tr>
      <w:bookmarkEnd w:id="34"/>
    </w:tbl>
    <w:p w:rsidR="00885A2C" w:rsidRPr="00392ED4" w:rsidRDefault="00885A2C">
      <w:pPr>
        <w:pStyle w:val="BodyCV"/>
        <w:jc w:val="left"/>
      </w:pPr>
    </w:p>
    <w:p w:rsidR="00F351FF" w:rsidRPr="00392ED4" w:rsidRDefault="00F351FF">
      <w:pPr>
        <w:pStyle w:val="BodyCV"/>
        <w:jc w:val="left"/>
      </w:pPr>
    </w:p>
    <w:sectPr w:rsidR="00F351FF" w:rsidRPr="00392ED4" w:rsidSect="007F06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1588" w:bottom="1304" w:left="1418" w:header="766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18" w:rsidRDefault="00C04718">
      <w:r>
        <w:separator/>
      </w:r>
    </w:p>
  </w:endnote>
  <w:endnote w:type="continuationSeparator" w:id="0">
    <w:p w:rsidR="00C04718" w:rsidRDefault="00C0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84" w:rsidRDefault="007672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84" w:rsidRDefault="00767284">
    <w:pPr>
      <w:pStyle w:val="FooterCV"/>
    </w:pPr>
    <w:bookmarkStart w:id="37" w:name="bmkAddress"/>
    <w:bookmarkEnd w:id="37"/>
  </w:p>
  <w:p w:rsidR="00767284" w:rsidRDefault="00767284">
    <w:pPr>
      <w:pStyle w:val="Footer2CV"/>
    </w:pPr>
  </w:p>
  <w:p w:rsidR="00767284" w:rsidRDefault="006B5DAC">
    <w:pPr>
      <w:pStyle w:val="Footer2CV"/>
    </w:pPr>
    <w:fldSimple w:instr=" DOCPROPERTY &quot;Document number&quot;  \* MERGEFORMAT ">
      <w:r w:rsidR="009C0166">
        <w:t>A09687921</w:t>
      </w:r>
    </w:fldSimple>
    <w:r w:rsidR="00767284">
      <w:t>/</w:t>
    </w:r>
    <w:fldSimple w:instr=" DOCPROPERTY &quot;Version&quot;  \* MERGEFORMAT ">
      <w:r w:rsidR="009C0166">
        <w:t>0.26</w:t>
      </w:r>
    </w:fldSimple>
    <w:r w:rsidR="00767284">
      <w:t>/</w:t>
    </w:r>
    <w:fldSimple w:instr=" DOCPROPERTY &quot;Last Modified&quot;  \* MERGEFORMAT ">
      <w:r w:rsidR="009C0166">
        <w:t>13 jan 2015</w:t>
      </w:r>
    </w:fldSimple>
    <w:bookmarkStart w:id="38" w:name="bmkPageNo2"/>
    <w:bookmarkEnd w:id="3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84" w:rsidRDefault="00767284">
    <w:pPr>
      <w:pStyle w:val="FooterCV"/>
      <w:rPr>
        <w:sz w:val="13"/>
        <w:szCs w:val="13"/>
      </w:rPr>
    </w:pPr>
    <w:bookmarkStart w:id="39" w:name="bmkAddress1"/>
    <w:bookmarkEnd w:id="39"/>
  </w:p>
  <w:p w:rsidR="00767284" w:rsidRPr="00392ED4" w:rsidRDefault="00767284" w:rsidP="00392ED4">
    <w:pPr>
      <w:pStyle w:val="Footer2CV"/>
      <w:spacing w:before="120" w:after="120"/>
      <w:rPr>
        <w:sz w:val="13"/>
        <w:szCs w:val="13"/>
      </w:rPr>
    </w:pPr>
    <w:bookmarkStart w:id="40" w:name="bmkRider1"/>
    <w:bookmarkStart w:id="41" w:name="bmkCVFooter"/>
    <w:bookmarkEnd w:id="40"/>
    <w:r w:rsidRPr="00392ED4">
      <w:rPr>
        <w:sz w:val="13"/>
        <w:szCs w:val="13"/>
      </w:rPr>
      <w:t>Linklaters converted to Linklaters LLP on 1 May 2007. The term partner is used to refer to a member of Linklaters LLP or an employee or consultant of Linklaters LLP or any of its affiliated firms or entities with equivalent standing and qualifications.</w:t>
    </w:r>
    <w:bookmarkEnd w:id="41"/>
  </w:p>
  <w:p w:rsidR="00767284" w:rsidRPr="00B13F30" w:rsidRDefault="006B5DAC" w:rsidP="00C162FB">
    <w:pPr>
      <w:pStyle w:val="Footer2CV"/>
      <w:jc w:val="left"/>
      <w:rPr>
        <w:rFonts w:cs="Arial"/>
      </w:rPr>
    </w:pPr>
    <w:fldSimple w:instr=" DOCPROPERTY &quot;Document number&quot;  \* MERGEFORMAT ">
      <w:r w:rsidR="009C0166">
        <w:t>A09687921</w:t>
      </w:r>
    </w:fldSimple>
    <w:r w:rsidR="00767284" w:rsidRPr="00926C1E">
      <w:t>/</w:t>
    </w:r>
    <w:fldSimple w:instr=" DOCPROPERTY &quot;Version&quot;  \* MERGEFORMAT ">
      <w:r w:rsidR="009C0166">
        <w:t>0.26</w:t>
      </w:r>
    </w:fldSimple>
    <w:r w:rsidR="00767284" w:rsidRPr="00926C1E">
      <w:t>/</w:t>
    </w:r>
    <w:fldSimple w:instr=" DOCPROPERTY &quot;Last Modified&quot;  \* MERGEFORMAT ">
      <w:r w:rsidR="009C0166">
        <w:t>13 jan 2015</w:t>
      </w:r>
    </w:fldSimple>
    <w:bookmarkStart w:id="42" w:name="bmkPageNo"/>
    <w:r w:rsidR="00767284">
      <w:t xml:space="preserve">  </w:t>
    </w:r>
    <w:r w:rsidR="00767284">
      <w:rPr>
        <w:rFonts w:cs="Arial"/>
      </w:rPr>
      <w:t xml:space="preserve"> </w:t>
    </w:r>
    <w:bookmarkEnd w:id="4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18" w:rsidRDefault="00C04718">
      <w:r>
        <w:separator/>
      </w:r>
    </w:p>
  </w:footnote>
  <w:footnote w:type="continuationSeparator" w:id="0">
    <w:p w:rsidR="00C04718" w:rsidRDefault="00C04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84" w:rsidRDefault="00767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84" w:rsidRDefault="00767284" w:rsidP="007F0601">
    <w:pPr>
      <w:pStyle w:val="Header"/>
      <w:jc w:val="right"/>
    </w:pPr>
    <w:bookmarkStart w:id="36" w:name="bmkCVHeader2"/>
    <w:bookmarkEnd w:id="36"/>
    <w:r>
      <w:t>Linklaters LLP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84" w:rsidRDefault="00767284" w:rsidP="006534D9">
    <w:pPr>
      <w:pStyle w:val="Header"/>
      <w:jc w:val="right"/>
    </w:pPr>
    <w:r>
      <w:t>Linklaters LLP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5473"/>
    <w:multiLevelType w:val="hybridMultilevel"/>
    <w:tmpl w:val="F9886B38"/>
    <w:lvl w:ilvl="0" w:tplc="85D0F3A6">
      <w:start w:val="1"/>
      <w:numFmt w:val="bullet"/>
      <w:pStyle w:val="Bullet2CV"/>
      <w:lvlText w:val="-"/>
      <w:lvlJc w:val="left"/>
      <w:pPr>
        <w:tabs>
          <w:tab w:val="num" w:pos="1134"/>
        </w:tabs>
        <w:ind w:left="1134" w:hanging="567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EC1001"/>
    <w:multiLevelType w:val="hybridMultilevel"/>
    <w:tmpl w:val="B84EF82E"/>
    <w:lvl w:ilvl="0" w:tplc="B4D25420">
      <w:start w:val="1"/>
      <w:numFmt w:val="bullet"/>
      <w:pStyle w:val="BulletCV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D4"/>
    <w:rsid w:val="000106D8"/>
    <w:rsid w:val="00025059"/>
    <w:rsid w:val="000260AC"/>
    <w:rsid w:val="0003033D"/>
    <w:rsid w:val="00071FBC"/>
    <w:rsid w:val="000C6B1C"/>
    <w:rsid w:val="000E3E40"/>
    <w:rsid w:val="000E4AF8"/>
    <w:rsid w:val="001142FA"/>
    <w:rsid w:val="00130685"/>
    <w:rsid w:val="00182CEB"/>
    <w:rsid w:val="00193742"/>
    <w:rsid w:val="001978B8"/>
    <w:rsid w:val="001A5C04"/>
    <w:rsid w:val="001B10B6"/>
    <w:rsid w:val="001C3AED"/>
    <w:rsid w:val="001C52C1"/>
    <w:rsid w:val="001C592D"/>
    <w:rsid w:val="001F1E8F"/>
    <w:rsid w:val="001F243E"/>
    <w:rsid w:val="00204FFA"/>
    <w:rsid w:val="0021051E"/>
    <w:rsid w:val="00247C13"/>
    <w:rsid w:val="00265E52"/>
    <w:rsid w:val="002804B6"/>
    <w:rsid w:val="00282F73"/>
    <w:rsid w:val="00292C8D"/>
    <w:rsid w:val="002A192C"/>
    <w:rsid w:val="002A24FC"/>
    <w:rsid w:val="002C2D4F"/>
    <w:rsid w:val="002D6E88"/>
    <w:rsid w:val="002E0463"/>
    <w:rsid w:val="00304666"/>
    <w:rsid w:val="003065B1"/>
    <w:rsid w:val="003132DA"/>
    <w:rsid w:val="00392ED4"/>
    <w:rsid w:val="003A56E8"/>
    <w:rsid w:val="003A5F40"/>
    <w:rsid w:val="003B0616"/>
    <w:rsid w:val="003B588D"/>
    <w:rsid w:val="003D31DC"/>
    <w:rsid w:val="003F6E93"/>
    <w:rsid w:val="0042249D"/>
    <w:rsid w:val="00436EEB"/>
    <w:rsid w:val="004447F7"/>
    <w:rsid w:val="00460642"/>
    <w:rsid w:val="004B216D"/>
    <w:rsid w:val="004B441D"/>
    <w:rsid w:val="005167D5"/>
    <w:rsid w:val="00526566"/>
    <w:rsid w:val="0053452C"/>
    <w:rsid w:val="00550C08"/>
    <w:rsid w:val="005525D9"/>
    <w:rsid w:val="005A592A"/>
    <w:rsid w:val="005E4D24"/>
    <w:rsid w:val="00647EF7"/>
    <w:rsid w:val="006534D9"/>
    <w:rsid w:val="00676A55"/>
    <w:rsid w:val="006B5DAC"/>
    <w:rsid w:val="006B6126"/>
    <w:rsid w:val="006B7936"/>
    <w:rsid w:val="006C14CC"/>
    <w:rsid w:val="0073581A"/>
    <w:rsid w:val="0073725D"/>
    <w:rsid w:val="0073750E"/>
    <w:rsid w:val="00767284"/>
    <w:rsid w:val="00784B9D"/>
    <w:rsid w:val="00790D0A"/>
    <w:rsid w:val="007B0B2B"/>
    <w:rsid w:val="007F0601"/>
    <w:rsid w:val="00830F01"/>
    <w:rsid w:val="00832F55"/>
    <w:rsid w:val="00835F8C"/>
    <w:rsid w:val="00882FA9"/>
    <w:rsid w:val="00885A2C"/>
    <w:rsid w:val="008914F1"/>
    <w:rsid w:val="008A5DED"/>
    <w:rsid w:val="008A7923"/>
    <w:rsid w:val="008E15EE"/>
    <w:rsid w:val="008F7B56"/>
    <w:rsid w:val="00903D73"/>
    <w:rsid w:val="0092167E"/>
    <w:rsid w:val="00926C1E"/>
    <w:rsid w:val="00947002"/>
    <w:rsid w:val="009651C2"/>
    <w:rsid w:val="009702AD"/>
    <w:rsid w:val="009823C1"/>
    <w:rsid w:val="00983A24"/>
    <w:rsid w:val="00987AA4"/>
    <w:rsid w:val="009A4EB1"/>
    <w:rsid w:val="009C0166"/>
    <w:rsid w:val="00A1152F"/>
    <w:rsid w:val="00A1344A"/>
    <w:rsid w:val="00A66DD9"/>
    <w:rsid w:val="00AC4AFB"/>
    <w:rsid w:val="00AD486D"/>
    <w:rsid w:val="00B12623"/>
    <w:rsid w:val="00B13F30"/>
    <w:rsid w:val="00B745C2"/>
    <w:rsid w:val="00BA13B9"/>
    <w:rsid w:val="00BB6B39"/>
    <w:rsid w:val="00BF71AB"/>
    <w:rsid w:val="00C04718"/>
    <w:rsid w:val="00C162FB"/>
    <w:rsid w:val="00C17D68"/>
    <w:rsid w:val="00C40B78"/>
    <w:rsid w:val="00C52656"/>
    <w:rsid w:val="00C52706"/>
    <w:rsid w:val="00C533C3"/>
    <w:rsid w:val="00C642AD"/>
    <w:rsid w:val="00C6478F"/>
    <w:rsid w:val="00C72942"/>
    <w:rsid w:val="00C973AF"/>
    <w:rsid w:val="00CB23B6"/>
    <w:rsid w:val="00CB5AC1"/>
    <w:rsid w:val="00CD4E24"/>
    <w:rsid w:val="00CE728E"/>
    <w:rsid w:val="00D0668A"/>
    <w:rsid w:val="00D163C4"/>
    <w:rsid w:val="00D16995"/>
    <w:rsid w:val="00D243EF"/>
    <w:rsid w:val="00D4108A"/>
    <w:rsid w:val="00D74CC6"/>
    <w:rsid w:val="00DC67B9"/>
    <w:rsid w:val="00E06A81"/>
    <w:rsid w:val="00E15490"/>
    <w:rsid w:val="00E258B2"/>
    <w:rsid w:val="00E3110C"/>
    <w:rsid w:val="00E32533"/>
    <w:rsid w:val="00E42F0E"/>
    <w:rsid w:val="00E57D3E"/>
    <w:rsid w:val="00EA1086"/>
    <w:rsid w:val="00EB12E0"/>
    <w:rsid w:val="00F11129"/>
    <w:rsid w:val="00F351FF"/>
    <w:rsid w:val="00F43FD4"/>
    <w:rsid w:val="00F75554"/>
    <w:rsid w:val="00FB3DE9"/>
    <w:rsid w:val="00FC35B9"/>
    <w:rsid w:val="00FE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90" w:lineRule="auto"/>
      <w:jc w:val="both"/>
    </w:pPr>
    <w:rPr>
      <w:rFonts w:ascii="Arial" w:hAnsi="Arial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C04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CV">
    <w:name w:val="BodyCV"/>
    <w:pPr>
      <w:tabs>
        <w:tab w:val="left" w:pos="1418"/>
      </w:tabs>
      <w:spacing w:line="290" w:lineRule="auto"/>
      <w:jc w:val="both"/>
    </w:pPr>
    <w:rPr>
      <w:rFonts w:ascii="Arial" w:hAnsi="Arial"/>
      <w:kern w:val="20"/>
      <w:lang w:eastAsia="en-US" w:bidi="ar-SA"/>
    </w:rPr>
  </w:style>
  <w:style w:type="paragraph" w:customStyle="1" w:styleId="DateListCV">
    <w:name w:val="DateListCV"/>
    <w:basedOn w:val="BodyCV"/>
    <w:pPr>
      <w:ind w:left="1418" w:hanging="1418"/>
    </w:pPr>
  </w:style>
  <w:style w:type="paragraph" w:customStyle="1" w:styleId="HeadingCV">
    <w:name w:val="HeadingCV"/>
    <w:basedOn w:val="BodyCV"/>
    <w:next w:val="BodyCV"/>
    <w:pPr>
      <w:spacing w:after="140"/>
    </w:pPr>
    <w:rPr>
      <w:b/>
      <w:sz w:val="24"/>
    </w:rPr>
  </w:style>
  <w:style w:type="paragraph" w:customStyle="1" w:styleId="BulletCV">
    <w:name w:val="BulletCV"/>
    <w:basedOn w:val="BodyCV"/>
    <w:pPr>
      <w:numPr>
        <w:numId w:val="4"/>
      </w:numPr>
      <w:tabs>
        <w:tab w:val="clear" w:pos="1418"/>
      </w:tabs>
    </w:pPr>
  </w:style>
  <w:style w:type="paragraph" w:customStyle="1" w:styleId="PublicationCV">
    <w:name w:val="PublicationCV"/>
    <w:basedOn w:val="BodyCV"/>
    <w:pPr>
      <w:spacing w:after="60"/>
    </w:pPr>
  </w:style>
  <w:style w:type="paragraph" w:customStyle="1" w:styleId="Publication2CV">
    <w:name w:val="Publication2CV"/>
    <w:basedOn w:val="PublicationCV"/>
    <w:pPr>
      <w:ind w:left="284"/>
    </w:pPr>
  </w:style>
  <w:style w:type="paragraph" w:styleId="FootnoteText">
    <w:name w:val="footnote text"/>
    <w:basedOn w:val="Normal"/>
    <w:semiHidden/>
    <w:pPr>
      <w:tabs>
        <w:tab w:val="left" w:pos="227"/>
      </w:tabs>
      <w:spacing w:after="60" w:line="200" w:lineRule="atLeast"/>
      <w:ind w:left="227" w:hanging="227"/>
    </w:pPr>
    <w:rPr>
      <w:kern w:val="20"/>
      <w:sz w:val="16"/>
      <w:szCs w:val="20"/>
    </w:rPr>
  </w:style>
  <w:style w:type="paragraph" w:customStyle="1" w:styleId="Bullet2CV">
    <w:name w:val="Bullet 2CV"/>
    <w:basedOn w:val="Normal"/>
    <w:pPr>
      <w:numPr>
        <w:numId w:val="5"/>
      </w:numPr>
    </w:pPr>
  </w:style>
  <w:style w:type="paragraph" w:customStyle="1" w:styleId="Name">
    <w:name w:val="Name"/>
    <w:basedOn w:val="Normal"/>
    <w:pPr>
      <w:spacing w:after="200"/>
      <w:jc w:val="left"/>
    </w:pPr>
    <w:rPr>
      <w:sz w:val="32"/>
    </w:rPr>
  </w:style>
  <w:style w:type="paragraph" w:customStyle="1" w:styleId="FooterCV">
    <w:name w:val="FooterCV"/>
    <w:basedOn w:val="Normal"/>
    <w:rPr>
      <w:noProof/>
      <w:sz w:val="16"/>
    </w:rPr>
  </w:style>
  <w:style w:type="paragraph" w:customStyle="1" w:styleId="Footer2CV">
    <w:name w:val="Footer2CV"/>
    <w:basedOn w:val="Normal"/>
    <w:rPr>
      <w:noProof/>
      <w:sz w:val="12"/>
    </w:rPr>
  </w:style>
  <w:style w:type="paragraph" w:customStyle="1" w:styleId="zFirmLogo">
    <w:name w:val="zFirmLogo"/>
    <w:basedOn w:val="Normal"/>
    <w:pPr>
      <w:spacing w:after="800"/>
      <w:jc w:val="left"/>
    </w:pPr>
  </w:style>
  <w:style w:type="paragraph" w:customStyle="1" w:styleId="Body">
    <w:name w:val="Body"/>
    <w:basedOn w:val="Normal"/>
    <w:pPr>
      <w:spacing w:after="320"/>
      <w:jc w:val="left"/>
    </w:pPr>
    <w:rPr>
      <w:bCs/>
    </w:rPr>
  </w:style>
  <w:style w:type="paragraph" w:styleId="BalloonText">
    <w:name w:val="Balloon Text"/>
    <w:basedOn w:val="Normal"/>
    <w:link w:val="BalloonTextChar"/>
    <w:rsid w:val="009C0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166"/>
    <w:rPr>
      <w:rFonts w:ascii="Tahoma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90" w:lineRule="auto"/>
      <w:jc w:val="both"/>
    </w:pPr>
    <w:rPr>
      <w:rFonts w:ascii="Arial" w:hAnsi="Arial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C04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CV">
    <w:name w:val="BodyCV"/>
    <w:pPr>
      <w:tabs>
        <w:tab w:val="left" w:pos="1418"/>
      </w:tabs>
      <w:spacing w:line="290" w:lineRule="auto"/>
      <w:jc w:val="both"/>
    </w:pPr>
    <w:rPr>
      <w:rFonts w:ascii="Arial" w:hAnsi="Arial"/>
      <w:kern w:val="20"/>
      <w:lang w:eastAsia="en-US" w:bidi="ar-SA"/>
    </w:rPr>
  </w:style>
  <w:style w:type="paragraph" w:customStyle="1" w:styleId="DateListCV">
    <w:name w:val="DateListCV"/>
    <w:basedOn w:val="BodyCV"/>
    <w:pPr>
      <w:ind w:left="1418" w:hanging="1418"/>
    </w:pPr>
  </w:style>
  <w:style w:type="paragraph" w:customStyle="1" w:styleId="HeadingCV">
    <w:name w:val="HeadingCV"/>
    <w:basedOn w:val="BodyCV"/>
    <w:next w:val="BodyCV"/>
    <w:pPr>
      <w:spacing w:after="140"/>
    </w:pPr>
    <w:rPr>
      <w:b/>
      <w:sz w:val="24"/>
    </w:rPr>
  </w:style>
  <w:style w:type="paragraph" w:customStyle="1" w:styleId="BulletCV">
    <w:name w:val="BulletCV"/>
    <w:basedOn w:val="BodyCV"/>
    <w:pPr>
      <w:numPr>
        <w:numId w:val="4"/>
      </w:numPr>
      <w:tabs>
        <w:tab w:val="clear" w:pos="1418"/>
      </w:tabs>
    </w:pPr>
  </w:style>
  <w:style w:type="paragraph" w:customStyle="1" w:styleId="PublicationCV">
    <w:name w:val="PublicationCV"/>
    <w:basedOn w:val="BodyCV"/>
    <w:pPr>
      <w:spacing w:after="60"/>
    </w:pPr>
  </w:style>
  <w:style w:type="paragraph" w:customStyle="1" w:styleId="Publication2CV">
    <w:name w:val="Publication2CV"/>
    <w:basedOn w:val="PublicationCV"/>
    <w:pPr>
      <w:ind w:left="284"/>
    </w:pPr>
  </w:style>
  <w:style w:type="paragraph" w:styleId="FootnoteText">
    <w:name w:val="footnote text"/>
    <w:basedOn w:val="Normal"/>
    <w:semiHidden/>
    <w:pPr>
      <w:tabs>
        <w:tab w:val="left" w:pos="227"/>
      </w:tabs>
      <w:spacing w:after="60" w:line="200" w:lineRule="atLeast"/>
      <w:ind w:left="227" w:hanging="227"/>
    </w:pPr>
    <w:rPr>
      <w:kern w:val="20"/>
      <w:sz w:val="16"/>
      <w:szCs w:val="20"/>
    </w:rPr>
  </w:style>
  <w:style w:type="paragraph" w:customStyle="1" w:styleId="Bullet2CV">
    <w:name w:val="Bullet 2CV"/>
    <w:basedOn w:val="Normal"/>
    <w:pPr>
      <w:numPr>
        <w:numId w:val="5"/>
      </w:numPr>
    </w:pPr>
  </w:style>
  <w:style w:type="paragraph" w:customStyle="1" w:styleId="Name">
    <w:name w:val="Name"/>
    <w:basedOn w:val="Normal"/>
    <w:pPr>
      <w:spacing w:after="200"/>
      <w:jc w:val="left"/>
    </w:pPr>
    <w:rPr>
      <w:sz w:val="32"/>
    </w:rPr>
  </w:style>
  <w:style w:type="paragraph" w:customStyle="1" w:styleId="FooterCV">
    <w:name w:val="FooterCV"/>
    <w:basedOn w:val="Normal"/>
    <w:rPr>
      <w:noProof/>
      <w:sz w:val="16"/>
    </w:rPr>
  </w:style>
  <w:style w:type="paragraph" w:customStyle="1" w:styleId="Footer2CV">
    <w:name w:val="Footer2CV"/>
    <w:basedOn w:val="Normal"/>
    <w:rPr>
      <w:noProof/>
      <w:sz w:val="12"/>
    </w:rPr>
  </w:style>
  <w:style w:type="paragraph" w:customStyle="1" w:styleId="zFirmLogo">
    <w:name w:val="zFirmLogo"/>
    <w:basedOn w:val="Normal"/>
    <w:pPr>
      <w:spacing w:after="800"/>
      <w:jc w:val="left"/>
    </w:pPr>
  </w:style>
  <w:style w:type="paragraph" w:customStyle="1" w:styleId="Body">
    <w:name w:val="Body"/>
    <w:basedOn w:val="Normal"/>
    <w:pPr>
      <w:spacing w:after="320"/>
      <w:jc w:val="left"/>
    </w:pPr>
    <w:rPr>
      <w:bCs/>
    </w:rPr>
  </w:style>
  <w:style w:type="paragraph" w:styleId="BalloonText">
    <w:name w:val="Balloon Text"/>
    <w:basedOn w:val="Normal"/>
    <w:link w:val="BalloonTextChar"/>
    <w:rsid w:val="009C0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166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CV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A57F-2D01-4275-9470-EF5D889FA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CV.dotx</Template>
  <TotalTime>0</TotalTime>
  <Pages>2</Pages>
  <Words>435</Words>
  <Characters>2420</Characters>
  <Application>Microsoft Office Word</Application>
  <DocSecurity>0</DocSecurity>
  <Lines>67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Any Authorised User</dc:creator>
  <cp:lastModifiedBy>Any Authorised User</cp:lastModifiedBy>
  <cp:revision>4</cp:revision>
  <cp:lastPrinted>2013-03-28T07:57:00Z</cp:lastPrinted>
  <dcterms:created xsi:type="dcterms:W3CDTF">2015-01-13T16:04:00Z</dcterms:created>
  <dcterms:modified xsi:type="dcterms:W3CDTF">2015-02-02T10:55:00Z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geNo">
    <vt:lpwstr>No</vt:lpwstr>
  </property>
  <property fmtid="{D5CDD505-2E9C-101B-9397-08002B2CF9AE}" pid="3" name="Address">
    <vt:lpwstr>No</vt:lpwstr>
  </property>
  <property fmtid="{D5CDD505-2E9C-101B-9397-08002B2CF9AE}" pid="4" name="Template Version">
    <vt:lpwstr>R.24</vt:lpwstr>
  </property>
  <property fmtid="{D5CDD505-2E9C-101B-9397-08002B2CF9AE}" pid="5" name="ObjectID">
    <vt:lpwstr>09001dc88cf06613</vt:lpwstr>
  </property>
  <property fmtid="{D5CDD505-2E9C-101B-9397-08002B2CF9AE}" pid="6" name="Document Number">
    <vt:lpwstr>A09687921</vt:lpwstr>
  </property>
  <property fmtid="{D5CDD505-2E9C-101B-9397-08002B2CF9AE}" pid="7" name="Version">
    <vt:lpwstr>0.26</vt:lpwstr>
  </property>
  <property fmtid="{D5CDD505-2E9C-101B-9397-08002B2CF9AE}" pid="8" name="Last Modified">
    <vt:lpwstr>13 jan 2015</vt:lpwstr>
  </property>
  <property fmtid="{D5CDD505-2E9C-101B-9397-08002B2CF9AE}" pid="9" name="Matter Number">
    <vt:lpwstr/>
  </property>
  <property fmtid="{D5CDD505-2E9C-101B-9397-08002B2CF9AE}" pid="10" name="Client Code">
    <vt:lpwstr/>
  </property>
  <property fmtid="{D5CDD505-2E9C-101B-9397-08002B2CF9AE}" pid="11" name="Mode">
    <vt:lpwstr>SendAs</vt:lpwstr>
  </property>
  <property fmtid="{D5CDD505-2E9C-101B-9397-08002B2CF9AE}" pid="12" name="DEDocumentLocation">
    <vt:lpwstr>H:\Documentum\__Viewed\09001dc88cf06613\Goes P_CV_Long.docx</vt:lpwstr>
  </property>
</Properties>
</file>